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SB180430 vom 22. Oktober 2018</w:t>
      </w:r>
    </w:p>
    <w:p>
      <w:r>
        <w:t>ZH Obergericht, 2018-10-22, DE</w:t>
      </w:r>
    </w:p>
    <w:p>
      <w:r>
        <w:rPr>
          <w:b/>
        </w:rPr>
        <w:t xml:space="preserve">Quelle: </w:t>
      </w:r>
      <w:r>
        <w:t>https://mcp.opencaselaw.ch/entscheid/zh_obergericht_SB180430</w:t>
      </w:r>
    </w:p>
    <w:p>
      <w:r>
        <w:t>FR: ZH_OBERGERICHT SB180430 du 22 octobre 2018</w:t>
      </w:r>
    </w:p>
    <w:p>
      <w:r>
        <w:t>IT: ZH_OBERGERICHT SB180430 del 22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das Urteil des Bezirksgerichtes Dietikon, Einzelgericht, vom 20. Juni 2018 hat die Staatsanwaltschaft zwar Berufung angemeldet (Urk. 23), innert der Frist von Art. 399 Abs. 3 StPO aber keine Berufungserklärung eingereicht. Des- halb ist auf die Berufung gestützt auf Art. 403 Abs. 1 und Abs. 3 StPO nicht einzu- treten.</w:t>
      </w:r>
    </w:p>
    <w:p>
      <w:r>
        <w:rPr>
          <w:b/>
        </w:rPr>
        <w:t>E. 2</w:t>
      </w:r>
    </w:p>
    <w:p>
      <w:r>
        <w:t>Im Rechtsmittelverfahren tragen die Parteien die Kosten nach Massgabe ihres Obsiegens oder Unterliegens. Das Nichteintreten auf ein Rechtsmittel kommt zwar einem Unterliegen gleich (Art. 428 Abs. 1 StPO). Wenn jedoch die Staatsanwaltschaft unterliegt, trägt der verfahrensführende Kanton die Kosten (SCHMID/JOSITSCH, StPO Praxiskommentar, 3. Aufl. 2017, Art. 428 N 3). Die Ge- richtsgebühr fällt daher ausser Ansatz und die Kosten des Berufungsverfahrens sind auf die Gerichtskasse zu nehmen.</w:t>
      </w:r>
    </w:p>
    <w:p>
      <w:r>
        <w:rPr>
          <w:b/>
        </w:rPr>
        <w:t>E. 3</w:t>
      </w:r>
    </w:p>
    <w:p>
      <w:r>
        <w:t>Dem Verteidiger des Beschuldigten sind im Berufungsverfahren keine Auf- wendungen und Auslagen angefallen (Urk. 29), weshalb dem Beschuldigten keine Prozessentschädigung zuzusprechen ist.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