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SB180410 vom 8. Oktober 2018</w:t>
      </w:r>
    </w:p>
    <w:p>
      <w:r>
        <w:t>ZH Obergericht, 2018-10-08, DE</w:t>
      </w:r>
    </w:p>
    <w:p>
      <w:r>
        <w:rPr>
          <w:b/>
        </w:rPr>
        <w:t xml:space="preserve">Quelle: </w:t>
      </w:r>
      <w:r>
        <w:t>https://mcp.opencaselaw.ch/entscheid/zh_obergericht_SB180410</w:t>
      </w:r>
    </w:p>
    <w:p>
      <w:r>
        <w:t>FR: ZH_OBERGERICHT SB180410 du 8 octobre 2018</w:t>
      </w:r>
    </w:p>
    <w:p>
      <w:r>
        <w:t>IT: ZH_OBERGERICHT SB180410 del 8 ottobre 2018</w:t>
      </w:r>
    </w:p>
    <w:p>
      <w:pPr>
        <w:pStyle w:val="Heading2"/>
      </w:pPr>
      <w:r>
        <w:t>Erwägungen</w:t>
      </w:r>
    </w:p>
    <w:p>
      <w:r>
        <w:rPr>
          <w:b/>
        </w:rPr>
        <w:t>E. 1</w:t>
      </w:r>
    </w:p>
    <w:p>
      <w:r>
        <w:t>Mit Urteil des Bezirksgerichts Winterthur vom 17. Mai 2018 wurde der Be- schuldigte B._____ vom Vorwurf der Drohung im Sinne von Art. 180 Abs. 1 StGB in Verbindung mit Art. 180 Abs. 2 lit. a StGB freigesprochen. Das Schadenersatz- begehren der Privatklägerin A._____ wurde auf den Zivilweg verwiesen (Urk. 50 S. 15). Das Urteil wurde dem Beschuldigten anlässlich der Hauptverhandlung vom 17. Mai 2018 im Beisein seines amtlichen Verteidigers mündlich eröffnet, kurz begründet und übergeben (Prot. I S. 22 f.). Der Anklagebehörde und der Pri- vatklägerin wurde das Urteilsdispositiv schriftlich am 18. Mai 2018 zugestellt (Urk. 41). Die Privatklägerin meldete mit Eingabe vom 25. Mai 2018 Berufung gegen das Urteil an (Urk. 44). Am 27. August 2018 respektive 28. August 2018 wurde den Parteien das begründete Urteil zugestellt (Urk. 49).</w:t>
      </w:r>
    </w:p>
    <w:p>
      <w:r>
        <w:rPr>
          <w:b/>
        </w:rPr>
        <w:t>E. 2</w:t>
      </w:r>
    </w:p>
    <w:p>
      <w:r>
        <w:t>Aufl. 2014, Art. 399 N 2; vgl. auch Urteil des Bundesgerichts 6B_458/2013 vom</w:t>
      </w:r>
    </w:p>
    <w:p>
      <w:r>
        <w:rPr>
          <w:b/>
        </w:rPr>
        <w:t>E. 4</w:t>
      </w:r>
    </w:p>
    <w:p>
      <w:r>
        <w:t>Im Rechtsmittelverfahren tragen die Parteien die Kosten nach Massgabe ih- res Obsiegens oder Unterliegens. Das Nichteintreten auf das Rechtsmittel der Privatklägerin kommt einem Unterliegen gleich (Art. 428 Abs. 1 StPO). Somit sind ihr die Kosten für das Berufungsverfahren aufzuerlegen. Die Gerichtsgebühr ist auf Fr. 600.– festzusetzen. Der amtlichen Verteidigung sind im Berufungs- verfahren keine Aufwendungen entstanden (Urk. 53). Entsprechend ist für das Berufungsverfahren keine Entschädigung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