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SB180341 vom 11. Januar 2019</w:t>
      </w:r>
    </w:p>
    <w:p>
      <w:r>
        <w:t>ZH Obergericht, 2019-01-11, DE</w:t>
      </w:r>
    </w:p>
    <w:p>
      <w:r>
        <w:rPr>
          <w:b/>
        </w:rPr>
        <w:t xml:space="preserve">Quelle: </w:t>
      </w:r>
      <w:r>
        <w:t>https://mcp.opencaselaw.ch/entscheid/zh_obergericht_SB180341</w:t>
      </w:r>
    </w:p>
    <w:p>
      <w:r>
        <w:t>FR: ZH_OBERGERICHT SB180341 du 11 janvier 2019</w:t>
      </w:r>
    </w:p>
    <w:p>
      <w:r>
        <w:t>IT: ZH_OBERGERICHT SB180341 del 11 gennaio 2019</w:t>
      </w:r>
    </w:p>
    <w:p>
      <w:pPr>
        <w:pStyle w:val="Heading2"/>
      </w:pPr>
      <w:r>
        <w:t>Erwägungen</w:t>
      </w:r>
    </w:p>
    <w:p>
      <w:r>
        <w:rPr>
          <w:b/>
        </w:rPr>
        <w:t>E. 1</w:t>
      </w:r>
    </w:p>
    <w:p>
      <w:r>
        <w:t>Mit Urteil des Bezirksgerichtes Dietikon, Einzelgericht in Strafsachen, vom 7. Juni 2018 wurde der Beschuldigte der mehrfachen Beschäftigung von Auslän- derinnen und Ausländern ohne Bewilligung gemäss Art. 117 Abs. 1 und Abs. 2 AuG schuldig gesprochen und mit einer unbedingten Geldstrafe von 180 Tages- sätzen zu je Fr. 50.– bestraft. Von weiteren strafbaren Handlungen wurde er frei- gesprochen und von einer Landesverweisung wurde abgesehen (Urk. 31).</w:t>
      </w:r>
    </w:p>
    <w:p>
      <w:r>
        <w:rPr>
          <w:b/>
        </w:rPr>
        <w:t>E. 2</w:t>
      </w:r>
    </w:p>
    <w:p>
      <w:r>
        <w:t>Gegen dieses Urteil hat die Staatsanwaltschaft mit Eingabe vom 11. Juni 2018 Berufung angemeldet (Urk. 24) und in der Folge mit Eingabe vom 8. August 2018 fristgerecht die Berufungserklärung erstattet (Urk. 32). Innert der mit Präsi- dialverfügung vom 22. August 2018 angesetzten Frist erklärte der Beschuldigte mit Eingabe vom 6. September 2018 Anschlussberufung (Urk. 34; Urk. 36).</w:t>
      </w:r>
    </w:p>
    <w:p>
      <w:r>
        <w:rPr>
          <w:b/>
        </w:rPr>
        <w:t>E. 3</w:t>
      </w:r>
    </w:p>
    <w:p>
      <w:r>
        <w:t>In der Folge wurden die Parteien auf den 11. Januar 2019 zur Berufungs- verhandlung vorgeladen (Urk. 41). Am 3. Januar 2019, eingegangen am 4. Januar 2019, zog die Staatsanwaltschaft ihre Berufung zurück (Urk. 43). Damit fällt auch die Anschlussberufung des Beschuldigten dahin (Art. 401 Abs. 3 StPO). Das Ver- fahren ist demzufolge als durch Rückzug erledigt abzuschreiben.</w:t>
      </w:r>
    </w:p>
    <w:p>
      <w:r>
        <w:rPr>
          <w:b/>
        </w:rPr>
        <w:t>E. 4</w:t>
      </w:r>
    </w:p>
    <w:p>
      <w:r>
        <w:t>Die Kosten des Rechtsmittelverfahrens tragen die Parteien nach Massga- be ihres Obsiegens oder Unterliegens. Als unterliegend gilt auch die Partei, auf deren Rechtmittel nicht eingetreten wird oder die das Rechtsmittel zurückzieht (Art. 428 Abs. 1 StPO). Unterliegt die Untersuchungsbehörde, wie in diesem Fall, trägt der verfahrensführende Kanton die Kosten (SCHMID/JOSITSCH, Praxiskom- mentar StPO, 3. Aufl., Zürich/St. Gallen 2018, N 3 zu Art. 428 StPO), weshalb die Gerichtskosten des Berufungsverfahrens ausser Ansatz fallen. Für seine Aufwen- dungen im Berufungsverfahren ist der amtliche Verteidiger des Beschuldigten, Rechtsanwalt lic. iur. X._____, mit Fr. 547.– aus der Gerichtskasse zu entschädi- gen.</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