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SB180307 vom 18. September 2019</w:t>
      </w:r>
    </w:p>
    <w:p>
      <w:r>
        <w:t>ZH Obergericht, 2019-09-18, DE</w:t>
      </w:r>
    </w:p>
    <w:p>
      <w:r>
        <w:rPr>
          <w:b/>
        </w:rPr>
        <w:t xml:space="preserve">Quelle: </w:t>
      </w:r>
      <w:r>
        <w:t>https://mcp.opencaselaw.ch/entscheid/zh_obergericht_SB180307</w:t>
      </w:r>
    </w:p>
    <w:p>
      <w:r>
        <w:t>FR: ZH_OBERGERICHT SB180307 du 18 septembre 2019</w:t>
      </w:r>
    </w:p>
    <w:p>
      <w:r>
        <w:t>IT: ZH_OBERGERICHT SB180307 del 18 settembre 2019</w:t>
      </w:r>
    </w:p>
    <w:p>
      <w:pPr>
        <w:pStyle w:val="Heading2"/>
      </w:pPr>
      <w:r>
        <w:t>Erwägungen</w:t>
      </w:r>
    </w:p>
    <w:p>
      <w:r>
        <w:rPr>
          <w:b/>
        </w:rPr>
        <w:t>E. 1</w:t>
      </w:r>
    </w:p>
    <w:p>
      <w:r>
        <w:t>Gemäss dem im Strafbefehl umschriebenen Sachverhalt verschaffte sich in der Nacht vom 11. auf den 12. Februar 2018 eine Gruppe von rund 14 Perso- nen ohne entsprechende Bewilligung gewaltsam und unter Verursachung von</w:t>
      </w:r>
    </w:p>
    <w:p>
      <w:r>
        <w:t>- 19 - Sachschaden in unbekannter Höhe Zugang zu der Liegenschaft der Geschädig- ten B._____ AG an der C._____-strasse … in Zürich. Weiter wird im Strafbefehl dargelegt, dass sich die "Häuserbesetzer" in den dritten Stock in ein Bürogebäude begeben hätten. Dort hätten sie sich, wiederum unter Verursachung von Sach- schaden zum Nachteil der B._____ AG, verbarrikadiert. Es sei dazu gekommen, dass sie die Bürotüre ausgehängt und Transparente aus den Fenstern gehängt hätten, auf welchen sie erklärt hätten, dass das Haus "besetzt" sei. Als die Polizei erschienen sei, sei diese aus den Fenstern mit verbotenen, dem Sprengstoffge- setz unterstehenden Pyrotechnika beworfen worden. Schliesslich sei es den In- terventionseinheiten der Polizei gelungen, in den dritten Stock vorzudringen, um die Besetzer, welche zuvor vergeblich aufgefordert worden seien, das Gebäude zu verlassen, aus dem Büro zu holen. Sofort seien die Polizeibeamten dann von den Besetzern mit Schaum aus Feuerlöschern, Wasser und anderen Gegenstän- den "beworfen" worden. Dem Beschuldigten wird sodann zur Last gelegt, dass er von der Polizei innerhalb des besetzten Büros im dritten Stock dieser Liegen- schaft angetroffen worden sei, wo er sich ohne entsprechende Bewilligung der Berechtigten aufgehalten hätte, nachdem sich die Polizei habe Zugang verschaf- fen können. Es wird ihm diesbezüglich vorgeworfen, sich des Hausfriedensbruchs schuldig gemacht zu haben. Was den Vorwurf der Sachbeschädigung betrifft, wurde das Strafverfahren mit Verfügung der Staatsanwaltschaft Zürich-Sihl vom</w:t>
      </w:r>
    </w:p>
    <w:p>
      <w:r>
        <w:rPr>
          <w:b/>
        </w:rPr>
        <w:t>E. 2</w:t>
      </w:r>
    </w:p>
    <w:p>
      <w:r>
        <w:t>Wie bereits erwogen liegt ein gültiger Strafantrag der B._____ AG vor. Ausserdem erfüllte der Beschuldigte den Tatbestand des Hausfriedensbruchs dadurch, dass er sich im Wissen darum, dass er dazu nicht berechtigt war und dies nicht dem Willen der B._____ AG entsprach, Zugang zur Liegenschaft an der C._____-strasse … verschaffte und sich in deren dritten Stock in Büroräumlichkei- ten aufhielt, sowohl in objektiver als auch in subjektiver Hinsicht. Entsprechendes gilt insbesondere auch für das Betreten gemeinschaftlicher Gebäudeteile, zumal der Beschuldigte nicht die Absicht hatte, eine bestimmte Dienstleistung einer in das Gebäude eingemieteten Firma in Anspruch zu nehmen oder jemanden zu be- suchen. Er drang mithin zu einem anderen als dem für diese Räumlichkeiten be-</w:t>
      </w:r>
    </w:p>
    <w:p>
      <w:r>
        <w:t>- 21 - stimmten Zweck ein. Der Beschuldigte ist daher des Hausfriedensbruchs im Sinne von Art. 186 StGB schuldig zu sprechen. V. Sanktion 1. Die Vorinstanz hat die Grundsätze der Strafzumessung zutreffend aufge- zeigt. Auch hat sie richtigerweise darauf hingewiesen, dass für Hausfriedensbruch im Sinne von Art. 186 StGB ein ordentlicher Strafrahmen von Geldstrafe (von mindestens 3 und höchstens 180 Tagessätzen) bis hin zu einer Freiheitsstrafe von 3 Jahren vorgesehen ist. Dies braucht nicht wiederholt zu werden (Urk. 37 S. 12 f.).</w:t>
      </w:r>
    </w:p>
    <w:p>
      <w:r>
        <w:rPr>
          <w:b/>
        </w:rPr>
        <w:t>E. 2.1</w:t>
      </w:r>
    </w:p>
    <w:p>
      <w:r>
        <w:t>Die Kosten des Berufungsverfahrens tragen die Parteien nach Massga- be ihres Obsiegens und Unterliegens (Art. 428 Abs. 1 StPO). Unterliegt die Unter- suchungsbehörde, trägt der verfahrensführende Kanton die Kosten (Schmid/Jo- sitsch, a.a.O., N 3 zu Art. 428 StPO). Sowohl der Beschuldigte als auch die Staatsanwaltschaft unterliegen mit ihren Hauptanträgen jeweils vollumfänglich. Es rechtfertigt sich daher, die Kosten des Berufungsverfahrens zur Hälfte dem Be- schuldigten aufzuerlegen und im Übrigen auf die Staatskasse zu nehmen.</w:t>
      </w:r>
    </w:p>
    <w:p>
      <w:r>
        <w:rPr>
          <w:b/>
        </w:rPr>
        <w:t>E. 2.2</w:t>
      </w:r>
    </w:p>
    <w:p>
      <w:r>
        <w:t>Dem Beschuldigten ist eine reduzierte Prozessentschädigung im Um- fang der Hälfte, entsprechend Fr. 4'300.– (Aufwand gemäss der Honorarnote der Verteidigung zzgl. einer weiteren Stunde für die Teilnahme an der Berufungsver- handlung, zumal diese länger dauerte als von der Verteidigung geschätzt</w:t>
      </w:r>
    </w:p>
    <w:p>
      <w:r>
        <w:t>- 26 - [Urk. 64]), für anwaltliche Verteidigung aus der Gerichtskasse zuzusprechen (Art. 436 Abs. 2 StPO). Es wird erkannt:</w:t>
      </w:r>
    </w:p>
    <w:p>
      <w:r>
        <w:rPr>
          <w:b/>
        </w:rPr>
        <w:t>E. 2.4</w:t>
      </w:r>
    </w:p>
    <w:p>
      <w:r>
        <w:t>Die Täterkomponente wirkt sich demnach aufgrund der Vorstrafen erhö- hend auf die hypothetische Einsatzstrafe aus. Es erscheint angemessen, diese auf neu 80 Tagessätze Geldstrafe oder 80 Tage Freiheitsstrafe zu erhöhen. 2.5.1 Während der Beschuldigte im Rahmen seines Eventualstandpunktes die Bestrafung mit einer Geldstrafe beantragt (Urk. 39 S. 2; Urk. 60 S. 1), bean- tragt die Staatsanwaltschaft die Bestätigung der Ausfällung einer Freiheitsstrafe (Urk. 43 S. 2; Urk. 65 S. 1). 2.5.2 Das dem Verschulden und den persönlichen Faktoren des Beschuldig- ten angemessene Strafmass liegt in einem Bereich, in dem sowohl eine Geld- als auch eine Freiheitsstrafe möglich wäre. Bei der Wahl der Sanktionsart ist als wichtiges Kriterium die Zweckmässigkeit einer bestimmten Sanktion, ihre Auswir-</w:t>
      </w:r>
    </w:p>
    <w:p>
      <w:r>
        <w:t>- 24 - kungen auf den Täter und sein soziales Umfeld sowie ihre präventive Effizienz zu berücksichtigen. Nach dem Prinzip der Verhältnismässigkeit soll bei alternativ zur Verfügung stehenden Sanktionen im Regelfall diejenige gewählt werden, die we- 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 heitsstrafen in Betracht kommen (Heimgartner, in: Donatsch/Heimgartner/Isen- ring/Weder [Hrsg.], Kommentar zum StGB, 20. Auflage 2018, N 1 zu Art. 41). Ent- sprechend dem Verhältnismässigkeitsprinzip ist auch in Art. 41 Abs. 1 StGB vor- gesehen, dass das Gericht dann auf eine Freiheitsstrafe statt auf eine Geldstrafe erkennen kann, wenn eine solche geboten erscheint, um den Täter von der Be- gehung weiterer Verbrechen oder Vergehen abzuhalten oder eine Geldstrafe vo- raussichtlich nicht vollzogen werden kann. 2.5.3 Zunächst ist darauf hinzuweisen, dass es sich bei den Vorstrafen des Beschuldigten zwar nicht um einschlägige Verurteilungen wegen Hausfriedens- bruchs handelte, sich seine damalige Delinquenz aber ebenfalls gegen fremdes Eigentum richtete. Ausserdem liess sich der Beschuldigte weder durch die in der Vergangenheit bedingt noch durch die unbedingt ausgesprochene Geldstrafe da- von abhalten, das vorliegend zu beurteilende Delikt zu begehen. Auch eine Ver- längerung der Probezeit der bedingt ausgefällten Geldstrafe von 180 Tagessätzen vermochte den Beschuldigten aber – wie sich nun zeigt – nicht genügend zu be- eindrucken. Vor diesem Hintergrund kann nicht mehr davon ausgegangen wer- den, dass die Ausfällung einer weiteren Geldstrafe den Beschuldigten von weite- rer Delinquenz gegen fremdes Eigentum abzuhalten vermögen würde. Entspre- chend erscheint es im Sinne von Art. 41 Abs. 1 lit. a StGB geboten, auf eine Frei- heitsstrafe zu erkennen.</w:t>
      </w:r>
    </w:p>
    <w:p>
      <w:r>
        <w:rPr>
          <w:b/>
        </w:rPr>
        <w:t>E. 2.7</w:t>
      </w:r>
    </w:p>
    <w:p>
      <w:r>
        <w:t>Der Beschuldigte ist demnach mit einer Freiheitsstrafe von 80 Tagen zu bestrafen. Einer Anrechnung von zwei Tagen erstandener Haft steht nichts ent- gegen (Urk. 12/2; Urk. 12/5; Art. 51 StGB).</w:t>
      </w:r>
    </w:p>
    <w:p>
      <w:r>
        <w:t>- 25 -</w:t>
      </w:r>
    </w:p>
    <w:p>
      <w:r>
        <w:rPr>
          <w:b/>
        </w:rPr>
        <w:t>E. 3</w:t>
      </w:r>
    </w:p>
    <w:p>
      <w:r>
        <w:t>Die Vorinstanz gelangte zu Recht zum Schluss, dass der Vollzug der Freiheitsstrafe aufzuschieben ist (Urk. 37 S. 16 f.). Der Beschuldigte wurde inner- halb der letzten 5 Jahre vor der Tat nicht im Sinne von Art. 42 Abs. 2 StGB zu ei- ner bedingten oder unbedingten Freiheitsstrafe von mehr als sechs Monaten ver- urteilt. Daher gilt grundsätzlich die Vermutung einer günstigen Prognose im Sinne von Art. 42 Abs. 1 StGB. An dieser Vermutung vermag auch der Umstand, dass der Beschuldigte zwei Vorstrafen aufweist, nichts zu ändern. In Anbetracht des- sen, dass der Beschuldigte nun erstmals mit einer Freiheitsstrafe zu bestrafen ist, besteht – entgegen der Auffassung der Staatsanwaltschaft (Urk. 65 S. 3 f.) – Aus- sicht darauf, dass ihn dies genügend beeindruckt, um ihn von weiterer Delinquenz abzuhalten. Es rechtfertigt sich daher, den Vollzug der Freiheitsstrafe bedingt auf- zuschieben. Dem Umstand, dass ihn die bisher bedingt ausgesprochenen Strafen nicht davon abhielten, weitere Delikte zu begehen, ist mit der Festsetzung einer Probezeit von 3 Jahren Rechnung zu tragen. VI. Kosten- und Entschädigungsfolgen 1. Ausgangsgemäss ist das erstinstanzliche Kostendispositiv zu bestätigen (Dispositivziffern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