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SB180296 vom 7. Dezember 2018</w:t>
      </w:r>
    </w:p>
    <w:p>
      <w:r>
        <w:t>ZH Obergericht, 2018-12-07, DE</w:t>
      </w:r>
    </w:p>
    <w:p>
      <w:r>
        <w:rPr>
          <w:b/>
        </w:rPr>
        <w:t xml:space="preserve">Quelle: </w:t>
      </w:r>
      <w:r>
        <w:t>https://mcp.opencaselaw.ch/entscheid/zh_obergericht_SB180296</w:t>
      </w:r>
    </w:p>
    <w:p>
      <w:r>
        <w:t>FR: ZH_OBERGERICHT SB180296 du 7 décembre 2018</w:t>
      </w:r>
    </w:p>
    <w:p>
      <w:r>
        <w:t>IT: ZH_OBERGERICHT SB180296 del 7 dicembre 2018</w:t>
      </w:r>
    </w:p>
    <w:p>
      <w:pPr>
        <w:pStyle w:val="Heading2"/>
      </w:pPr>
      <w:r>
        <w:t>Erwägungen</w:t>
      </w:r>
    </w:p>
    <w:p>
      <w:r>
        <w:rPr>
          <w:b/>
        </w:rPr>
        <w:t>E. 1</w:t>
      </w:r>
    </w:p>
    <w:p>
      <w:r>
        <w:t>Verfahrensgang</w:t>
      </w:r>
    </w:p>
    <w:p>
      <w:r>
        <w:rPr>
          <w:b/>
        </w:rPr>
        <w:t>E. 1.1</w:t>
      </w:r>
    </w:p>
    <w:p>
      <w:r>
        <w:t>Die Vorinstanz würdigte das Verhalten des Beschuldigten als fahrlässige grobe Verletzung von Verkehrsregeln im Sinne von Art. 90 Abs. 2 SVG i.V.m. mit Art. 31 Abs. 1 SVG, Art. 3 Abs. 1 VRV und Art. 34 Abs. 1 SVG i.V.m. Art. 100 Ziff. 1 SVG.</w:t>
      </w:r>
    </w:p>
    <w:p>
      <w:r>
        <w:rPr>
          <w:b/>
        </w:rPr>
        <w:t>E. 1.2</w:t>
      </w:r>
    </w:p>
    <w:p>
      <w:r>
        <w:t>Nach Art. 90 Abs. 2 SVG macht sich strafbar, wer durch eine grobe Ver- letzung der Verkehrsregeln eine ernstliche Gefahr für die Sicherheit anderer her- vorruft oder in Kauf nimmt. Der objektive Tatbestand besteht damit aus zwei ku- mulativ zu erfüllenden Merkmalen: Der groben Verletzung von Verkehrsregeln und der durch diese hervorgerufene ernstliche Gefährdung. Eine grobe Verkehrs- regelverletzung ist nach Auffassung des Bundesgerichts gegeben, wenn der Täter eine wichtige Verkehrsvorschrift in gravierender Weise missachtet (objektive Sei- te) und ein rücksichtsloses oder sonst schwerwiegend regelwidriges Verhalten an den Tag legt (subjektive Seite), d.h. schweres Verschulden bzw. zumindest grobe Fahrlässigkeit verwirklicht (BSK SVG-FIOLKA, Art. 90 N 40 f.).</w:t>
      </w:r>
    </w:p>
    <w:p>
      <w:r>
        <w:t>- 9 -</w:t>
      </w:r>
    </w:p>
    <w:p>
      <w:r>
        <w:rPr>
          <w:b/>
        </w:rPr>
        <w:t>E. 1.2.1</w:t>
      </w:r>
    </w:p>
    <w:p>
      <w:r>
        <w:t>Als Faustregel gilt dabei, dass alle Verkehrsregeln, die allgemein oder nach den konkreten Umständen des Einzelfalles der Verkehrssicherheit dienen sollen, als grundlegend zu werten sind (WEISSENBERGER, Art. 90 N 64). Gemäss Art. 31 Abs. 1 SVG hat der Führer das Fahrzeug ständig so zu beherrschen, dass er sei- nen Vorsichtspflichten nachkommen kann. Gemäss Art. 3 Abs. 1 Satz 1 VRV, welcher Art. 31 Abs. 1 SVG konkretisiert, muss der Fahrzeugführer seine Auf- merksamkeit der Strasse und dem Verkehr zuwenden. Damit zählen diese Be- stimmungen mit Sicherheit zu den elementaren Verkehrsregelvorschriften (vgl. WEISSENBERGER, Art. 90 N 63 m.w.H.). Das Gebot des Rechtsfahrens ge- mäss Art. 34 Abs. 1 SVG soll verhindern, dass sich Fahrzeuge beim Kreuzen ge- genseitig gefährden. Gemäss bundesgerichtlicher Rechtsprechung und herrschender Lehre zählt das Gebot des Rechtsfahrens im Sinne von Art. 34 SVG – neben der Anforderung, sein Fahrzeug ständig zu beherrschen (Art. 31 SVG), der Grundregel gemäss Art. 26 SVG sowie dem Gebot zur angepassten Ge- schwindigkeit (Art. 32 SVG) – ebenfalls zu den grundlegenden Bestimmungen des Strassenverkehrsrechts nicht nur der Schweiz, sondern auch zahlreicher an- derer Länder (BGE 105 IV 55 E. 5; BSK SVG-ROTH, Art. 31 N 1). Diese Bestim- mungen bilden die Grundlage für alle weiteren Regeln.</w:t>
      </w:r>
    </w:p>
    <w:p>
      <w:r>
        <w:rPr>
          <w:b/>
        </w:rPr>
        <w:t>E. 1.2.2</w:t>
      </w:r>
    </w:p>
    <w:p>
      <w:r>
        <w:t>Der Tatbestand von Art. 90 Abs. 2 SVG kommt indessen nur dann zur An- wendung, wenn der Täter durch seine grobe Verkehrsregelverletzung eine ernst- liche Gefahr für die Sicherheit anderer hervorruft oder in Kauf nimmt. Dabei ist ei- ne ernstliche Gefahr für die Sicherheit anderer nach der bundesgerichtlichen Rechtsprechung bereits bei einer erhöhten abstrakten Gefährdung gegeben. Die erhöhte abstrakte Gefahr setzt die naheliegende Möglichkeit einer konkreten Ge- fährdung oder Verletzung voraus (Urteil des Bundesgerichts 6B_628/2014 vom 30. September 2014 E. 1.2; BGE 122 IV 173). Erhöhte abstrakte Gefährdungen zeichnen sich dadurch aus, dass die Handlungsweise des Täters typischerweise besonders geeignet ist, Verletzungen der geschützten Rechtsgüter herbeizu- führen bzw. dass die Art von Handlungen erfahrungsgemäss besonders oft zu solchen Verletzungen führt (FIOLKA, JB-SVR 2013, 350). Von einer ernstlichen Gefahr ist schon bei der allgemeinen Möglichkeit der Verwirklichung einer Gefahr zu sprechen, wenn unter Berücksichtigung der Umstände der Eintritt einer konkre-</w:t>
      </w:r>
    </w:p>
    <w:p>
      <w:r>
        <w:t>- 10 - ten Gefährdung oder gar einer Verletzung naheliegt (BGE 142 IV 93). Für die An- wendung des Tatbestandes wird regelmässig auf die Kasuistik zurückgegriffen, so auch im Bereich des Nichtbeherrschens des Fahrzeuges respektive der mangeln- den Aufmerksamkeit (BSK SVG-FIOLKA, Art. 90 N 63 mit diversen Beispielen).</w:t>
      </w:r>
    </w:p>
    <w:p>
      <w:r>
        <w:rPr>
          <w:b/>
        </w:rPr>
        <w:t>E. 1.2.3</w:t>
      </w:r>
    </w:p>
    <w:p>
      <w:r>
        <w:t>Nach Art. 100 Ziff. 1 SVG gilt auch die fahrlässige Tatbegehung als durch die Strafbestimmungen des SVG erfasst. Subjektiv muss der Täter sowohl die grobe Verkehrsregelverletzung als auch die Schaffung der Gefahr zumindest in Kauf nehmen, wobei Inkaufnehmen nicht Eventualvorsatz meint, sondern bloss Fahrlässigkeit. Diese Fahrlässigkeit muss allerdings zumindest grob sein. Das soll etwa dann gegeben sein, wenn der Täter um die allgemeine Gefährlichkeit seines Verhaltens weiss bzw. die Gefährdung anderer Personen pflichtwidrig gar nicht in Betracht zieht (unbewusste Fahrlässigkeit). Im Falle der unbewussten Fahrlässig- keit wird jedoch vorausgesetzt, dass der Täter aus Rücksichtslosigkeit die Ge- fährdung anderer Verkehrsteilnehmer nicht bedenkt (vgl. Urteil des Bundesge- richts 6B_628/2014 vom 30. September 2014 E. 1.2). Als rücksichtslos gilt u.a. ein bedenkenloses Verhalten gegenüber fremden Rechtsgütern, das auch in ei- nem blossen (momentanen) Nichtbedenken der Gefährdung der Interessen be- stehen kann (Urteil des Bundesgerichts 6B_628/2014 vom 30. September 2014 E. 1.2 m.w.H.). Nach Auffassung des Bundesgerichts muss die Annahme der sub- jektiven Rücksichtslosigkeit nach Abs. 2 streng gehandhabt werden. Bei der Beur- teilung spielt das Mass der in der konkreten Situation erforderlichen Aufmerk- samkeit, aber auch die Bedeutung der verletzten Regel im Einzelfall eine wichtige Rolle. Nicht jede Unaufmerksamkeit, die wegen der Schwere des Erfolgs objektiv als gravierende Verletzung der Vorsichtspflicht zu betrachten ist, wiegt auch sub- jektiv schwer (Urteil des Bundesgerichts 6B_263/2015 vom 30. Juni 2015 E. 2.1). Es ist unter Berücksichtigung der gesamten Umstände zu beurteilen, ob ein ent- sprechendes Verhalten auf Rücksichtslosigkeit zurückzuführen ist, wobei dies auch bei unbewusster Fahrlässigkeit umso mehr der Fall sein wird, je schwerer die Verkehrsregelverletzung objektiv wiegt, sofern nicht besondere Gegenindizien vorliegen (Urteil des Bundesgerichts 6B_628/2014 vom 30. September 2014 E. 1.2). Sodann musste der Erfolgseintritt für den Beschuldigten sowohl voraus-</w:t>
      </w:r>
    </w:p>
    <w:p>
      <w:r>
        <w:t>- 11 - sehbar als auch bei Anwendung pflichtgemässer Sorgfalt vermeidbar gewesen sein. 2. Standpunkt der Verteidigung und Würdigung</w:t>
      </w:r>
    </w:p>
    <w:p>
      <w:r>
        <w:rPr>
          <w:b/>
        </w:rPr>
        <w:t>E. 1.3</w:t>
      </w:r>
    </w:p>
    <w:p>
      <w:r>
        <w:t>Mit Eingabe vom 24. August 2018 machte die Verteidigung geltend, die amtliche Verteidigung dürfe nicht widerrufen werden, da sich rechtlich schwierige Fragen stellen würden. Sodann stellte die Verteidigung den Antrag, es sei ein schriftliches Verfahren durchzuführen (Urk. 34). Nachdem die Staatsanwaltschaft sich mit der Durchführung des schriftlichen Verfahrens einverstanden erklärt hatte (Urk. 37), wurde mit Präsidialverfügung vom 29. August 2018 die Durchführung des schriftlichen Verfahrens verfügt. Gleichzeitig wurde dem Beschuldigten Frist angesetzt, um schriftlich die Berufungsanträge zu stellen und zu begründen. Schliesslich wurde von einem Widerruf der amtlichen Verteidigung abgesehen (Urk. 38). Der Beschuldigte liess am 12. Oktober 2018 diverse Unterlagen be- treffend seine finanziellen Verhältnisse einreichen (Urk. 44-46/5). Innert zweimal erstreckter Frist (Urk. 40 und 42) reichte der Beschuldigte seine Berufungsbe- gründung ein (Urk. 47). Mit Präsidialverfügung vom 22. Oktober 2018 wurde der Staatsanwaltschaft Frist zur Berufungsantwort angesetzt. Der Vorinstanz erhielt Gelegenheit zur freigestellten Vernehmlassung (Urk. 49), worauf sie in der Folge verzichtete (Urk. 51). Die Staatsanwaltschaft verzichtete sodann auf eine Beru- fungsantwort und verwies stattdessen auf die Begründung des vorinstanzlichen Urteils (Urk. 52). Das Verfahren erweist sich als spruchreif.</w:t>
      </w:r>
    </w:p>
    <w:p>
      <w:r>
        <w:rPr>
          <w:b/>
        </w:rPr>
        <w:t>E. 2</w:t>
      </w:r>
    </w:p>
    <w:p>
      <w:r>
        <w:t>Umfang der Berufung</w:t>
      </w:r>
    </w:p>
    <w:p>
      <w:r>
        <w:rPr>
          <w:b/>
        </w:rPr>
        <w:t>E. 2.1</w:t>
      </w:r>
    </w:p>
    <w:p>
      <w:r>
        <w:t>Die fahrlässige grobe Verletzung von Verkehrsregeln wird mit Freiheits- strafe bis zu drei Jahren oder Geldstrafe bestraft (Art. 90 Abs. 2 SVG). Gemäss</w:t>
      </w:r>
    </w:p>
    <w:p>
      <w:r>
        <w:t>- 19 - Art. 34 Abs. 1 StGB beträgt die Geldstrafe höchstens 180 Tagessätze, sofern das Gesetz nichts anderes vorsieht.</w:t>
      </w:r>
    </w:p>
    <w:p>
      <w:r>
        <w:rPr>
          <w:b/>
        </w:rPr>
        <w:t>E. 2.2</w:t>
      </w:r>
    </w:p>
    <w:p>
      <w:r>
        <w:t>Innerhalb dieses Rahmens ist die Strafe nach dem Verschulden des Täters zu bemessen. Das Gericht berücksichtigt dabei das Vorleben und die persön- lichen Verhältnisse sowie die Wirkung der Strafe auf das Leben des Täters (Art. 47 Abs. 1 StGB).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 kreten Straftat beziehen, wobei im Einzelnen zwischen der Tat- und der Täter- komponente zu unterscheiden ist (vgl. allgemein BGE 117 IV 113; BGE 122 IV 241; BGE 123 IV 153; BGE 127 IV 103; BGE 129 IV 20). Bei der Tatkomponente ist der Ausgangspunkt die objektive Schwere des Delikts (HUG in DONATSCH/FLACHSMANN/HUG/WEDER, StGB-Kommentar, 19. Aufl., Zürich 2013, Art. 47 N 7 ff.). Dabei sind insbesondere das Ausmass des Erfolgs, die Art und Weise des Vorgehens, der Deliktsbetrag sowie die Grösse der kriminellen Energie zu berücksichtigen. Hinsichtlich der subjektiven Tatschwere sind insbe- sondere die Intensität des verbrecherischen Willens, das Mass an Entscheidungs- freiheit des Täters sowie das Mass der Pflichtwidrigkeit zu beurteilen (HUG in DONATSCH/FLACHSMANN/HUG/WEDER, StGB-Kommentar, 19. Aufl., Zürich 2013, Art. 47 N 7 ff; BSK StGB I-WIPRÄCHTIGER/KELLER, Art. 47 N 90 ff.).</w:t>
      </w:r>
    </w:p>
    <w:p>
      <w:r>
        <w:rPr>
          <w:b/>
        </w:rPr>
        <w:t>E. 2.3</w:t>
      </w:r>
    </w:p>
    <w:p>
      <w:r>
        <w:t>Bei der Strafzumessung ist sodann das Nachtatverhalten eines Täters zu berücksichtigen. Darunter fällt das Verhalten nach der Tat sowie im Strafverfahren (wie zum Beispiel Reue, Einsicht und Strafempfindlichkeit, vgl. dazu TRECHSEL/ THOMMEN in TRECHSEL/PIETH (Hrsg.), StGB Praxiskommentar, 3. Aufl., Zürich/ St. Gallen 2018, Art. 47 N 22; BSK StGB I-WIPRÄCHTIGER/KELLER, Art. 47 N 109). Ein Geständnis, das kooperative Verhalten eines Täters bei der Aufklärung von Straftaten sowie die Einsicht und Reue wirken strafmindernd (BSK StGB I-WIPRÄCHTIGER/KELLER, Art. 47 N 130 f.). Das Bundesgericht hielt in seinen</w:t>
      </w:r>
    </w:p>
    <w:p>
      <w:r>
        <w:t>- 20 - Entscheiden BGE 118 IV 349 und 121 IV 202 dafür, ein positives Nachtatver- halten könne zu einer Strafreduktion im Bereich von einem Fünftel bis zu einem Drittel führen (vgl. auch BSK StGB I-WIPRÄCHTIGER/KELLER, Art. 47 N 131). 3. Konkrete Strafzumessung</w:t>
      </w:r>
    </w:p>
    <w:p>
      <w:r>
        <w:rPr>
          <w:b/>
        </w:rPr>
        <w:t>E. 2.4</w:t>
      </w:r>
    </w:p>
    <w:p>
      <w:r>
        <w:t>Was die allgemeinen Voraussetzungen der Voraussehbarkeit und Ver- meidbarkeit angeht, kann zunächst auf die diesbezüglichen Ausführungen der Vorinstanz verwiesen werden (Urk. 26 S. 14 f.). Aufgrund der persönlichen Fähig- keiten und Kenntnisse wäre der Beschuldigte imstande gewesen, grössere Sorg-</w:t>
      </w:r>
    </w:p>
    <w:p>
      <w:r>
        <w:t>- 18 - falt walten zu lassen, als er es getan hat und damit den eingetretenen Erfolg vor- auszusehen und zu vermeiden. Für den Beschuldigten waren – als gewohnter Au- toführer (Urk. 3/2 S. 7 F/A 40), welcher über Erfahrung im Strassenverkehr und über genügende Fahrpraxis verfügt – die den Erfolg herbeiführenden Ge- schehensabläufe mindestens in den wesentlichen Zügen voraussehbar. Ihm war klar, dass es zu schwerwiegenden Unfällen kommen kann, wenn man nicht auf- merksam fährt. Der eingetretene Erfolg hätte auch vermieden werden können, wenn der Beschuldigte die in der Situation von ihm geforderte Aufmerksamkeit hätte walten lassen. Wäre der Beschuldigte aufmerksam gewesen und hätte sich auf die Strasse konzentriert, wäre es nicht zum Spurwechsel und dem Unfall ge- kommen, sondern er wäre auf der rechten Fahrspur geblieben. Dieser Ansicht ist auch der Beschuldigte selber (vgl. Urk. 3/2 S. 4 F/A 20). Die Voraussehbarkeit und die Vermeidbarkeit sind aufgrund des Gesagten zu bejahen, weshalb der Be- schuldigte fahrlässig gehandelt hat. Es sind keine Rechtfertigungs- oder Schuld- ausschlussgründe erkennbar. Der Beschuldigte ist deshalb wegen einer fahrlässi- gen groben Verkehrsregelverletzung im Sinne von Art. 90 Abs. 2 SVG i.V.m. Art. 31 Abs. 1 SVG, Art. 3 Abs. 1 VRV und Art. 34 Abs. 1 SVG i.V.m. Art. 100 Ziff. 1 SVG schuldig zu sprechen. IV. Strafzumessung 1. Ausgangslage Die Vorinstanz bestrafte den Beschuldigten mit einer Geldstrafe von 20 Tagessät- zen zu je Fr. 30.– (Urk. 26 S. 21). Die Verteidigung beantragte, der Beschuldigte sei milde zu bestrafen, ohne einen konkreten Antrag betreffend Strafhöhe zu stel- len (Urk. 47 S. 2). 2. Strafrahmen und allgemeine Prinzipien der Strafzumessung</w:t>
      </w:r>
    </w:p>
    <w:p>
      <w:r>
        <w:rPr>
          <w:b/>
        </w:rPr>
        <w:t>E. 3</w:t>
      </w:r>
    </w:p>
    <w:p>
      <w:r>
        <w:t>Formelles</w:t>
      </w:r>
    </w:p>
    <w:p>
      <w:r>
        <w:rPr>
          <w:b/>
        </w:rPr>
        <w:t>E. 3.1</w:t>
      </w:r>
    </w:p>
    <w:p>
      <w:r>
        <w:t>Die Gerichtsgebühr für das Berufungsverfahren ist auf Fr. 3'000.– festzu- setzen.</w:t>
      </w:r>
    </w:p>
    <w:p>
      <w:r>
        <w:rPr>
          <w:b/>
        </w:rPr>
        <w:t>E. 3.2</w:t>
      </w:r>
    </w:p>
    <w:p>
      <w:r>
        <w:t>Im Rechtsmittelverfahren tragen die Parteien die Kosten nach Massgabe ihres Obsiegens und Unterliegens (Art. 428 Abs. 1 StPO). Ob eine Partei im Rechtsmittelverfahren als obsiegend oder unterliegend gilt, hängt davon ab, in welchem Ausmass ihre vor Beschwerdeinstanz bzw. Berufungsgericht gestellten Anträge gutgeheissen wurden (BSK StPO-DOMEISEN, Art. 428 N 6).</w:t>
      </w:r>
    </w:p>
    <w:p>
      <w:r>
        <w:rPr>
          <w:b/>
        </w:rPr>
        <w:t>E. 3.3</w:t>
      </w:r>
    </w:p>
    <w:p>
      <w:r>
        <w:t>Vorliegend unterliegt der Beschuldigte mit seinen Anträgen auf Freispruch vom Vorwurf der groben Verletzung der Verkehrsregeln, Schuldigsprechung we- gen einer einfachen Verkehrsregelverletzung und einer milderen Bestrafung. Wie noch zu zeigen sein wird, unterliegt er sodann mit seinem Antrag auf Entschädi- gung. Ausgangsgemäss sind die Kosten des Berufungsverfahrens deshalb dem Beschuldigten aufzuerlegen.</w:t>
      </w:r>
    </w:p>
    <w:p>
      <w:r>
        <w:rPr>
          <w:b/>
        </w:rPr>
        <w:t>E. 3.4</w:t>
      </w:r>
    </w:p>
    <w:p>
      <w:r>
        <w:t>Gemäss Art. 34 Abs. 2 StGB beträgt ein Tagessatz höchstens Fr. 3'000.–. Die Höhe des Tagessatzes ist nach den persönlichen und wirtschaftlichen Ver- hältnissen des Täters im Zeitpunkt des Urteils, namentlich nach Einkommen und Vermögen, Lebensaufwand, allfälligen Familien- und Unterstützungspflichten sowie nach dem Existenzminimum zu bestimmen. Aufgrund der oben genannten finanziellen Verhältnisse des Beschuldigten (vgl. auch Urk. 4/7 und 46/1-5) ist der Tagessatz auf Fr. 30.– festzusetzen.</w:t>
      </w:r>
    </w:p>
    <w:p>
      <w:r>
        <w:rPr>
          <w:b/>
        </w:rPr>
        <w:t>E. 3.5</w:t>
      </w:r>
    </w:p>
    <w:p>
      <w:r>
        <w:t>Die Staatsanwaltschaft beantragte vor Vorinstanz, es sei der Beschuldigte neben der Geldstrafe mit einer Busse in der Höhe von Fr. 300.– zu bestrafen (Urk. 15). Die Vorinstanz hat von einer Bestrafung mit einer Busse abgesehen (Urk. 26 S. 19). Fällt das Gericht eine bedingte Strafe aus – was vorliegend, wie noch zu zeigen sein wird, der Fall ist –, so kann die bedingte Strafe gemäss Art. 42 Abs. 4 StGB mit einer unbedingten Geldstrafe oder mit einer Busse nach Art. 106 StGB ver- bunden werden. Wenn die Vorinstanz den Verzicht auf das Aussprechen einer Busse damit begründet, dass dem Verschulden des Beschuldigten durch die be- dingte Geldstrafe bereits angemessen Rechnung getragen ist und von der auszu- sprechenden Strafe bereits eine ausreichende Warnwirkung ausgehe, so über- sieht sie, dass die Funktion der Verbindungsgeldstrafe respektive -busse eine mehrfache ist. Sie trägt zwar einerseits dazu bei, dass unter spezial- und general- präventiven Gesichtspunkten eher geringe Drohpotential der bedingten Geldstrafe</w:t>
      </w:r>
    </w:p>
    <w:p>
      <w:r>
        <w:t>- 22 - zu erhöhen. Sie kommt daher insbesondere in Betracht, wenn dem Täter zusätz- lich zur bedingten Grundstrafe ein sofort spürbarer Denkzettel verpasst werden soll; die Verbindungsstrafe hat damit auch eine spezialpräventive Bedeutung. Mit der Verbindungsbusse soll ferner aber auch die Schnittstellenproblematik zwi- schen der unbedingten Busse für Übertretungen und der bedingten Geldstrafe für Vergehen entschärft werden; sie hat insoweit nach Auffassung des Bundes- gerichts auch eine generalpräventive Funktion. Vorliegend handelt es sich um ei- ne klassische Schnittstellenproblematik, wie sie für Delikte im Strassenverkehr sehr häufig vorkommt. Ebenfalls nicht überzeugen kann das Argument, dass dem Verschulden des Beschuldigten durch die bedingte Geldstrafe bereits angemes- sen Rechnung getragen ist. Denn die Strafkombination – bedingte Geldstrafe und Verbindungsbusse – darf nicht zu einer Straferhöhung führen oder eine zusätz- liche Strafe ermöglichen (BGE 134 IV 60 E. 7.3.2). Im vorliegenden Fall wäre es durchaus angemessen gewesen, den Beschuldigten neben der Bestrafung mit einer bedingten Geldstrafe mit einer Busse zu belegen. Aufgrund des Verschlechterungsverbotes hat es aber bei der Geldstrafe sein Be- wenden.</w:t>
      </w:r>
    </w:p>
    <w:p>
      <w:r>
        <w:rPr>
          <w:b/>
        </w:rPr>
        <w:t>E. 4</w:t>
      </w:r>
    </w:p>
    <w:p>
      <w:r>
        <w:t>Entschädigung amtliche Verteidigung</w:t>
      </w:r>
    </w:p>
    <w:p>
      <w:r>
        <w:rPr>
          <w:b/>
        </w:rPr>
        <w:t>E. 4.1</w:t>
      </w:r>
    </w:p>
    <w:p>
      <w:r>
        <w:t>Rechtsanwalt Dr. X._____ reichte am 14. November 2018 (Datum Post- stempel) seine Honorarnote für seine Aufwendungen und Barauslagen im Beru-</w:t>
      </w:r>
    </w:p>
    <w:p>
      <w:r>
        <w:t>- 24 - fungsverfahren ein und stellte einen Betrag von Fr. 4'871.27 in Rechnung (Urk. 54).</w:t>
      </w:r>
    </w:p>
    <w:p>
      <w:r>
        <w:rPr>
          <w:b/>
        </w:rPr>
        <w:t>E. 4.2</w:t>
      </w:r>
    </w:p>
    <w:p>
      <w:r>
        <w:t>Die Entschädigung für die anwaltliche Verteidigung bestimmt sich grundsätzlich nach der Verordnung über die Anwaltsgebühren vom 8. September 2010 (Anwaltsgebührenverordnung; LS 215.3; vgl. auch § 1 AnwGebV; Art. 135 Abs. 1 StPO). Gemäss § 1 AnwGebV setzt sich die Entschädigung aus der Gebühr und den notwendigen Auslagen zusammen. Die Gebühr für die Führung eines Strafprozesses (einschliesslich Vorbereitung des Parteivortrages und Teilnahme an der Hauptverhandlung) beträgt im Bereich der Zuständigkeit des Einzelgerichts – auch im Berufungsverfahren – in der Regel Fr. 600.– bis Fr. 8'000.–, wobei auch zu berücksichtigen ist, ob das vorinstanzliche Urteil ganz oder nur teilweise angefochten wurde (§ 18 Abs. 1 i.V.m. § 17 Abs. 1 lit. a AnwGebV). Innerhalb dieses Rahmens wird die Grundgebühr nach den besonde- ren Umständen, namentlich etwa nach Art und Umfang der Bemühungen und Schwierigkeiten des Falles, bemessen. Gemäss Praxis ist bei so genannten einfachen Standardverfahren von den in der Anwaltsgebührenverordnung angeführten Ansätzen auszugehen. Die Anwalts- gebührenverordnung ist jedoch so auszulegen, dass die Kosten der Verteidigung – zumindest weitestgehend – gedeckt sind. Bei der Festsetzung der Entschädigung der Verteidiger ist daher primär zu beur- teilen, ob es sich vorliegend um ein so genanntes einfaches Standardverfahren handelt. Dies beurteilt sich nach folgenden Kriterien: Aktenumfang, Komplexität und Schwierigkeit des Falles (sowohl in tatsächlicher als auch rechtlicher Hin- sicht), Bedeutung des Verfahrens für die betroffene Person und Anzahl der an- geklagten und zu beurteilenden Delikte (ZR 111 [2012] Nr. 16 mit Verweis auf Be- schlüsse des Kassationsgerichtes AC040089 vom 23. Dezember 2004, E. II.3c, und AC070031 vom 11. Juli 2008, E. 4.5).</w:t>
      </w:r>
    </w:p>
    <w:p>
      <w:r>
        <w:rPr>
          <w:b/>
        </w:rPr>
        <w:t>E. 4.3</w:t>
      </w:r>
    </w:p>
    <w:p>
      <w:r>
        <w:t>Vorliegend ist der Umfang der Akten gering und im Berufungsverfahren ist nur noch eine kleine Anzahl relevanter Aktenstücke dazugekommen. Moniert wurde im Berufungsverfahren explizit nur die rechtliche Würdigung durch die Vor-</w:t>
      </w:r>
    </w:p>
    <w:p>
      <w:r>
        <w:t>- 25 - instanz (vgl. Urk. 34). Sodann wurde das Berufungsverfahren schriftlich durchge- führt, wobei die Staatsanwaltschaft sich nicht eingehend vernehmen liess, son- dern im Zusammenhang mit ihrem Bestätigungsantrag lediglich auf die Erwägun- gen im vorinstanzlichen Urteil verwies. Die amtliche Verteidigung hatte sich des- halb nicht mit neuen Argumenten der Staatsanwaltschaft auseinanderzusetzen. Ferner ging es um ein einziges Delikt, welches zu beurteilen war. In Würdigung der gesamten Umstände handelte es sich beim vorliegenden Verfahren sowohl in qualitativer als auch quantitativer Hinsicht nicht um ein besonders schwieriges und aufwändiges Verfahren, sondern um ein Standardverfahren im Sinne der vor- genannten Rechtsprechung. Deshalb ist bei der Bemessung der Entschädigung für den Verteidiger grundsätzlich von den in der Anwaltsgebührenverordnung an- geführten Ansätzen auszugehen.</w:t>
      </w:r>
    </w:p>
    <w:p>
      <w:r>
        <w:rPr>
          <w:b/>
        </w:rPr>
        <w:t>E. 4.4</w:t>
      </w:r>
    </w:p>
    <w:p>
      <w:r>
        <w:t>Die Grundgebühr umfasst die gewöhnlichen, d.h. regelmässig anfallenden Bemühungen des Verteidigers im Rahmen des gerichtlichen Verfahrens sowie der Vorbereitung für dieses. Dazu zählen im Berufungsverfahren namentlich eine Be- sprechung mit dem Beschuldigten, das Aktenstudium, die Vorbereitung und Teil- nahme an der Berufungsverhandlung (inkl. Verfassen des Plädoyers) sowie das Studium des Berufungsurteils (ZR 111 [2012] Nr. 15 E. 2.3.1.; ZR 101 [2002] Nr. 19 E. 3b).</w:t>
      </w:r>
    </w:p>
    <w:p>
      <w:r>
        <w:rPr>
          <w:b/>
        </w:rPr>
        <w:t>E. 4.5</w:t>
      </w:r>
    </w:p>
    <w:p>
      <w:r>
        <w:t>Unter Verweis auf die Erwägungen in VI.4.3 sowie angesichts der Bedeu- tung und Schwere des Falles ist für die Verteidigung für das Berufungsverfahren eine gesamthafte Gebühr von Fr. 3'000.– inklusive Auslagen und Mehrwertsteuer festzusetzen.</w:t>
      </w:r>
    </w:p>
    <w:p>
      <w:r>
        <w:rPr>
          <w:b/>
        </w:rPr>
        <w:t>E. 4.6</w:t>
      </w:r>
    </w:p>
    <w:p>
      <w:r>
        <w:t>Dies erscheint umso angemessener im Lichte der nachfolgenden Erwä- gungen: Vorab festzuhalten ist, dass der Stundensatz für amtliche Mandate grundsätzlich Fr. 220.– beträgt (§ 3 AnwGebV), und nicht – wie von der Verteidi- gung geltend gemacht – Fr. 300.–. In der eingereichten Honorarnote finden sich sodann nicht zu entschädigende oder überhöhte Positionen. Nicht zu entschädi- gen ist zunächst die Position "ER Dossier" vom 20. August 2018 als Zeitaufwand für die Übernahme respektive Fortführung des Mandats. Die Position "Bf. v. OG Kt. ZH/DS/KK Bf. An Klient" vom 20. August 2018 lässt sich zwar keinem pro-</w:t>
      </w:r>
    </w:p>
    <w:p>
      <w:r>
        <w:t>- 26 - zessualen Schriftenverkehr zuordnen. Zugunsten der Verteidigung ist allerdings davon auszugehen, dass es sich dabei um einen Verschrieb handelt und damit der Aufwand im Zusammenhang mit dem Erhalt der Präsidialverfügung vom</w:t>
      </w:r>
    </w:p>
    <w:p>
      <w:r>
        <w:rPr>
          <w:b/>
        </w:rPr>
        <w:t>E. 4.7</w:t>
      </w:r>
    </w:p>
    <w:p>
      <w:r>
        <w:t>Die genannten Kosten für die amtliche Verteidigung sind einstweilen auf die Gerichtskasse zu nehmen. Die Rückzahlungspflicht des Beschuldigten ge- mäss Art. 135 Abs. 4 StPO ist vorzubehalten.</w:t>
      </w:r>
    </w:p>
    <w:p>
      <w:r>
        <w:t>- 27 - 5. Entschädigung des Beschuldigten 5.1. Die Verteidigung beantragte, dem Beschuldigten sei eine Entschädigung in der Höhe von Fr. 500.– zuzusprechen (Urk. 47 S. 2). Die Verteidigung begründete dies als symbolische Entschädigung für das Erscheinenmüssen beim Bezirks- gericht Horgen. Eine weitere Substantiierung blieb aus. 5.2. Wird die beschuldigte Person freigesprochen, so hat sie gemäss Art. 429 Abs. 1 StPO Anspruch auf Entschädigung ihrer Aufwendungen für die angemes- sene Ausübung ihrer Verfahrensrechte (lit. a), der wirtschaftlichen Einbussen, die ihr aus ihrer notwendigen Beteiligung am Strafverfahren entstanden sind (lit. b) sowie Genugtuung für besonders schwere Verletzungen ihrer persönlichen Ver- hältnisse, insbesondere bei Freiheitsentzug (lit. c). Die Strafbehörde prüft den An- spruch von Amtes wegen (Art. 429 Abs. 2 Satz 1 StPO). 5.3. Dem Beschuldigten ist keine Entschädigung nach Art. 429 StPO zuzuspre- chen. Die Kosten der amtlichen Verteidigung werden als Auslagen bereits bei den Verfahrenskosten berücksichtigt (Art. 422 Abs. 2 lit. a und 423 StPO). Nach Art. 429 Abs. 1 lit. b StPO werden Lohn- und Erwerbseinbussen entschädigt, die wegen Freiheitsentzug oder der Beteiligung an Verfahrenshandlungen entstanden sind (vgl. BSK StPO-WEHRENBERG/FRANK, Art. 429 N 23). Im vorliegenden Fall werden aber keine solchen Einbussen geltend gemacht, geschweige denn belegt, sondern die Entschädigung habe gemäss den Ausführungen der Verteidigung "symbolischen" Charakter. Da der Beschuldigte sodann nie vorläufig festgenom- men oder in Untersuchungshaft war, bleibt auch kein Raum für eine Anwendung von Art. 429 Abs. 1 lit. c StPO.</w:t>
      </w:r>
    </w:p>
    <w:p>
      <w:r>
        <w:t>- 28 - Es wird beschlossen: 1. Es wird festgestellt, dass das Urteil des Bezirksgerichts Horgen, Einzel- gericht 24. April 2018 wie folgt in Rechtskraft erwachsen ist: " 1. […] 2. […] 3. […] 4. Die amtliche Verteidigung wird für ihre Bemühungen und Auslagen mit Fr. 3'174.95 (inkl. Mehrwertsteuer) aus der Gerichtskasse entschädigt. 5. Die Entscheidgebühr wird festgesetzt auf: Fr. 1'200.00; die weiteren Kosten betragen: Fr. 1'100.00 Gebühr Anklagebehörde Fr. 3'174.95 amtliche Verteidigung (inkl. MwSt.) Verlangt keine der Parteien eine Begründung, ermässigt sich die Entscheid- gebühr um einen Drit tel. 6. […] " 2. Schriftliche Mitteilung mit nachfolgendem Urteil. Es wird erkannt: 1. Der Beschuldigte A._____ ist schuldig der fahrlässigen groben Verletzung der Verkehrsregeln im Sinne von Art. 90 Abs. 2 SVG i.V.m. Art. 31 Abs. 1 SVG, Art. 3 Abs. 1 VRV und Art. 34 Abs. 1 SVG i.V.m. Art. 100 Ziff. 1 SVG. 2. Der Beschuldigte wird bestraft mit einer Geldstrafe von 20 Tagessätzen zu Fr. 30.–. 3. Der Vollzug der Geldstrafe wird aufgeschoben und die Probezeit auf 2 Jahre festgesetzt.</w:t>
      </w:r>
    </w:p>
    <w:p>
      <w:r>
        <w:t>- 29 - 4. Die erstinstanzliche Kostenverlegung (Ziff. 6) wird bestätigt. 5. Die zweitinstanzliche Gerichtsgebühr wird festgesetzt auf: Fr. 3'000.00 ; die weiteren Kosten betragen: Fr. 3'000.00 amtliche Verteidigung 6.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7. Dem Beschuldigten wird keine Entschädigung zugesprochen. 8. Schriftliche Mitteilung in vollständiger Ausfertigung an − die amtliche Verteidigung im Doppel für sich und zuhanden des Beschuldigten − die Staatsanwaltschaft Limmattal/Albis und nach unbenütztem Ablauf der Rechtsmittelfrist bzw. Erledigung allfälliger Rechtsmittel an − die Vorinstanz − das Migrationsamt des Kantons Zürich − das Strassenverkehrsamt des Kantons Zürich, Abteilung Administrativmassnahmen, Richterliche Fahrverbote, 8090 Zürich (PIN-Nr. ...) − die Koordinationsstelle VOSTRA mit Formular A.</w:t>
      </w:r>
    </w:p>
    <w:p>
      <w:r>
        <w:rPr>
          <w:b/>
        </w:rPr>
        <w:t>E. 8</w:t>
      </w:r>
    </w:p>
    <w:p>
      <w:r>
        <w:t>August 2018 (Urk. 30) gemeint ist, da diese offensichtlich zur Kenntnis ge- nommen wurde (vgl. Urk. 34 und 44-46/5), aber in der Honorarnote nicht auf- geführt ist. Nicht zu entschädigen ist allerdings der Zeitaufwand für die Position "Fotokopien (18 Seiten à -.50) vom 11. Oktober 2018. Es handelt sich um Sekre- tariatsarbeiten. Ferner machte der Verteidiger mit drei Positionen ("Aktendtudium f. Rechtsschrft. + verfasse", "Rechtsschrift verfassen/verbessern" und "Rechts- schrift an KG Kt. ZH") einen Aufwand von insgesamt 720 Minuten geltend. Hierzu ist zu erwähnen, dass der Verteidiger bereits vor der Vorinstanz Aufwand für "Ak- tenstudium/Vorbereitung" von 120 Minuten geltend machte. Wie erwähnt sind im Berufungsverfahren keine substanziell und in der Sache wesentlichen Akten- stücke dazugekommen. Hinzu kommt, dass die Verteidigung lediglich die recht- liche Würdigung moniert, weshalb sich das Aktenstudium auf einige wesentliche Aktenstücke, insbesondere das vorinstanzliche Urteil, beschränken konnte. Der Sachverhalt war bekannt und unbestritten. Zu entschädigen ist deshalb lediglich ein Aufwand zur "Auffrischung" der Aktenkenntnis im Umfang von 60 Minuten. Was nun den Aufwand für das Verfassen der Rechtsschrift (gemeint: Berufungs- begründung) angeht, so erscheint ein Aufwand von 540 Minuten insbesondere in Anbetracht des Umfangs – die materiellen Ausführungen beschränken sich auf</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- 30 - Die Beschwerdelegitimation und die weiteren Beschwerdevoraussetzungen richten sich nach den massgeblichen Bestimmungen des Bundesgerichts- gesetzes. Obergericht des Kantons Zürich I. Strafkammer Zürich, 7. Dezember 2018 Der Präsident: Der Gerichtsschreiber: lic. iur. R. Naef lic. iur. R. Bretscher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