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SB180293 vom 14. August 2018</w:t>
      </w:r>
    </w:p>
    <w:p>
      <w:r>
        <w:t>ZH Obergericht, 2018-08-14, DE</w:t>
      </w:r>
    </w:p>
    <w:p>
      <w:r>
        <w:rPr>
          <w:b/>
        </w:rPr>
        <w:t xml:space="preserve">Quelle: </w:t>
      </w:r>
      <w:r>
        <w:t>https://mcp.opencaselaw.ch/entscheid/zh_obergericht_SB180293</w:t>
      </w:r>
    </w:p>
    <w:p>
      <w:r>
        <w:t>FR: ZH_OBERGERICHT SB180293 du 14 août 2018</w:t>
      </w:r>
    </w:p>
    <w:p>
      <w:r>
        <w:t>IT: ZH_OBERGERICHT SB180293 del 14 agosto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das Urteil des Bezirksgerichtes Zürich, 10. Abteilung - Einzelgericht, vom 31. Mai 2018 hat der Privatkläger zwar Berufung anmelden lassen, innert der Frist von Art. 399 Abs. 3 StPO aber keine Berufungserklärung eingereicht. Des- halb ist auf die Berufung gestützt auf Art. 403 Abs. 1 und Abs. 3 StPO nicht ein- zutreten.</w:t>
      </w:r>
    </w:p>
    <w:p>
      <w:r>
        <w:rPr>
          <w:b/>
        </w:rPr>
        <w:t>E. 2</w:t>
      </w:r>
    </w:p>
    <w:p>
      <w:r>
        <w:t>Im Rechtsmittelverfahren tragen die Parteien die Kosten nach Massgabe ihres Obsiegens oder Unterliegens. Das Nichteintreten auf das Rechtsmittel des Privatklägers kommt einem Unterliegen gleich (Art. 428 Abs. 1 StPO). Dem Pri- vatkläger sind somit die Kosten für das Berufungsverfahren aufzuerlegen. Die Gerichtsgebühr ist praxisgemäss auf Fr. 600.– festzusetzen. Der im Berufungs- verfahren obsiegende Beschuldigte verlangt für dieses eine Entschädigung für Aufwendungen von 0.6 Stunden sowie Barauslagen von Fr. 8.– (Urk. 34). Dem- gemäss ist der Privatkläger zu verpflichten, dem Beschuldigten eine Prozessent- schädigung von Fr. 234.80 zu bezahlen.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