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SB180258 vom 23. November 2018</w:t>
      </w:r>
    </w:p>
    <w:p>
      <w:r>
        <w:t>ZH Obergericht, 2018-11-23, DE</w:t>
      </w:r>
    </w:p>
    <w:p>
      <w:r>
        <w:rPr>
          <w:b/>
        </w:rPr>
        <w:t xml:space="preserve">Quelle: </w:t>
      </w:r>
      <w:r>
        <w:t>https://mcp.opencaselaw.ch/entscheid/zh_obergericht_SB180258</w:t>
      </w:r>
    </w:p>
    <w:p>
      <w:r>
        <w:t>FR: ZH_OBERGERICHT SB180258 du 23 novembre 2018</w:t>
      </w:r>
    </w:p>
    <w:p>
      <w:r>
        <w:t>IT: ZH_OBERGERICHT SB180258 del 23 novembre 2018</w:t>
      </w:r>
    </w:p>
    <w:p>
      <w:pPr>
        <w:pStyle w:val="Heading2"/>
      </w:pPr>
      <w:r>
        <w:t>Erwägungen</w:t>
      </w:r>
    </w:p>
    <w:p>
      <w:r>
        <w:rPr>
          <w:b/>
        </w:rPr>
        <w:t>E. 1</w:t>
      </w:r>
    </w:p>
    <w:p>
      <w:r>
        <w:t>Hinsichtlich des Verfahrensganges bis zum Abschluss des erstinstanzlichen Verfahrens kann vollumfänglich auf die vollständigen und zutreffenden Erwägun- gen im angefochtenen Entscheid verwiesen werden (Urk. 21 S. 4).</w:t>
      </w:r>
    </w:p>
    <w:p>
      <w:r>
        <w:rPr>
          <w:b/>
        </w:rPr>
        <w:t>E. 2</w:t>
      </w:r>
    </w:p>
    <w:p>
      <w:r>
        <w:t>Mit eingangs im Dispositiv zitierten Entscheid des Bezirksgerichtes Zürich, 10. Abteilung - Einzelgericht, vom 9. März 2018 (fortan Vorinstanz) wurde der Be- schuldigte der versuchten sexuellen Handlungen mit Kindern, der mehrfachen Pornographie sowie des vorsätzlichen Fahrens in fahrunfähigem Zustand schuldig gesprochen und mit einer Freiheitsstrafe von 11 Monaten, wovon zwei Tage durch Haft erstanden waren, bestraft. Der Vollzug dieser Freiheitsstrafe wurde unter Ansetzung einer Probezeit von 4 Jahren aufgeschoben. Der Antrag auf Anordnung eines Tätigkeitsverbotes im Sinne von Art. 67 Abs. 3 lit. b StGB wurde abgewiesen (Urk. 21 S. 31 ff.).</w:t>
      </w:r>
    </w:p>
    <w:p>
      <w:r>
        <w:rPr>
          <w:b/>
        </w:rPr>
        <w:t>E. 3</w:t>
      </w:r>
    </w:p>
    <w:p>
      <w:r>
        <w:t>Das Bundesgericht erwog dazu in seinem erst kürzlich ergangenen Ent- scheid 6B_125/2018 vom 14. Juni 2018 E. 1.2.2 das Folgende: "Im Rahmen von Art. 42 Abs. 1 StGB genügt für den bedingten Vollzug das Feh- len einer ungünstigen Prognose. Der bedingte Strafaufschub setzt mit anderen Worten nicht die positive Erwartung voraus, der Täter werde sich bewähren, son- dern es genügt die Abwesenheit der Befürchtung, dass er es nicht tun werde. Der Strafaufschub ist deshalb die Regel, von der grundsätzlich nur bei ungünstiger Prognose abgewichen werden darf. Er hat im breiten Mittelfeld der Ungewissheit den Vorrang (BGE 135 IV 180 E. 2.1 S. 185 f.; 134 IV 97 E. 7.3 S. 117; Urteil 6B_118/2017 vom 14. Juli 2017 E. 3.2.2; je mit Hinweisen). Das Gericht hat eine</w:t>
      </w:r>
    </w:p>
    <w:p>
      <w:r>
        <w:t>- 8 -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Ein relevantes Prog- nosekriterium ist insbesondere die strafrechtliche Vorbelastung (BGE 134 IV 1 E. 4.2.1 S. 5). Einschlägige Vorstrafen sind bei der Prognosestellung zwar als er- heblich ungünstiges Element zu gewichten, sie schliessen den bedingten Vollzug allerdings nicht notwendigerweise aus (Urteile 6B_118/2017 vom 14. Juli 2017 E. 3.2.2; 6B_358/2014 vom 26. Juni 2014 E. 2.3; je mit Hinweisen)." Diese Grundsätze sind auf den vorliegenden Fall anzuwenden.</w:t>
      </w:r>
    </w:p>
    <w:p>
      <w:r>
        <w:rPr>
          <w:b/>
        </w:rPr>
        <w:t>E. 4</w:t>
      </w:r>
    </w:p>
    <w:p>
      <w:r>
        <w:t>Zurecht hat die Vorinstanz festgestellt, dass der Beschuldigte über mehrere Vorstrafen verfügt, welche auf eine gewisse Unbelehrbarkeit hindeuten (Urk. 21 S. 26). Auch die Staatsanwaltschaft verweist in ihrer Berufungsbegründung ins- besondere auf die Vorstrafen des Beschuldigten und folgert, dass dem Beschul- digten durch die Strafbehörden seit 2009 keine günstige Prognose mehr habe gestellt werden können (Urk. 23 S. 3). Der Beschuldigte weist bereits sieben Ein- träge im Strafregister auf (Urk. 47): − 29. Juli 2007: Strafbefehl des Untersuchungsamtes Altstätten, Verurteilung wegen mehrfachen Fahrens ohne Führerausweis, mehrfachen Fahrens ohne Fahrzeugausweis oder Kontrollschilder, mehrfacher missbräuchlicher Verwendung von Ausweisen und/oder Kontrollschildern, widerrechtlicher Aneignung von Kontrollschildern und/oder Fahrradkennzeichnen und Bestra- fung mit einer Geldstrafe von 30 Tagessätzen zu Fr. 60.– sowie einer Busse von Fr. 1'200.–. − 15. September 2009: Urteil/Strafbefehl des Amtsstatthalteramtes Hochdorf, Verurteilung wegen Übertretung des Betäubungsmittelgesetzes, Fahrens ohne Führerausweis, Fahrens ohne Fahrzeugausweis oder Kontrollschilder, Fahrens ohne Haftpflichtversicherung und Bestrafung mit einer Geldstrafe von 60 Tagessätzen zu Fr. 60.– sowie einer Busse von Fr. 800.– als Zusatz-</w:t>
      </w:r>
    </w:p>
    <w:p>
      <w:r>
        <w:t>- 9 - strafe zum Urteil/Strafbefehl des Untersuchungsamtes Altstätten vom 29. Juli 2007. − 17. Dezember 2012: Strafbefehl der Staatsanwaltschaft Abteilung 2 Emmen, Verurteilung wegen Vergehens und Übertretung des Betäubungsmittel- gesetzes und Bestrafung mit einer bedingten Geldstrafe von 5 Tagessätzen zu Fr. 90.– sowie einer Busse von Fr. 400.–. − 3. Juli 2013: Strafbefehl der Staatsanwaltschaft Abteilung 2 Emmen, Ver- urteilung wegen Nichtabgabe von Ausweisen und/oder Schildern mit einer Geldstrafe von 5 Tagessätzen zu Fr. 90.–. − 18. Februar 2014: Strafbefehl der Staatsanwaltschaft Innerschwyz Kanton Schwyz, Verurteilung wegen fahrlässiger Körperverletzung und Bestrafung mit einer Geldstrafe von 10 Tagessätzen zu Fr. 30.–. − 24. Juni 2014: Strafbefehl der regionalen Staatsanwaltschaft Bern- Mittelland, Verurteilung wegen Fahrens in fahrunfähigem Zustand und Über- tretung des Betäubungsmittelgesetzes und Bestrafung mit einer Geldstrafe von 12 Tagessätzen zu Fr. 60.– sowie einer Busse von Fr. 100.–. − 20. September 2018: Strafbefehl der Staatsanwaltschaft Lenzburg-Aarau, Verurteilung wegen Verletzung der Verkehrsregeln sowie Führens eines Motorfahrzeuges trotz Verweigerung, Entzug oder Aberkennung des Aus- weises und Bestrafung mit einer Geldstrafe von 100 Tagessätzen zu Fr. 70.– sowie einer Busse von Fr. 100.–. Der Beschuldigte weist somit sechs – zumindest bezüglich Delikte gegen das Strassenverkehrsgesetz – grösstenteils einschlägige Vorstrafen auf. Bezüglich der SVG-Delikte ist damit von einer eigentlichen Unbelehrbarkeit auszugehen. Zudem delinquierte der Beschuldigte während laufender Strafuntersuchung. Die Schlusseinvernahme im vorliegenden Strafverfahren erfolgte am 3. Oktober 2017 und lediglich etwas mehr als zwei Monate später – am 16. Dezember 2017 – wurde er wieder straffällig. Zwar musste bislang noch nie eine schwerere Strafe als eine Geldstrafe von 100 Tagessätzen ausgefällt werden. Allerdings konnte</w:t>
      </w:r>
    </w:p>
    <w:p>
      <w:r>
        <w:t>- 10 - offensichtlich auch die Vollzugserfahrung der früheren unbedingt ausgefällten Geldstrafen ihn nicht vom erneuten Delinquieren abhalten, was sich legal- prognostisch äusserst ungünstig auswirkt.</w:t>
      </w:r>
    </w:p>
    <w:p>
      <w:r>
        <w:rPr>
          <w:b/>
        </w:rPr>
        <w:t>E. 5</w:t>
      </w:r>
    </w:p>
    <w:p>
      <w:r>
        <w:t>Der Beschuldigte hat in diesem Sommer die Lehre als Zimmermann EFZ erfolgreich abgeschlossen (Urk. 39/1-2), was zwar als positive Veränderung seit der Tat einzustufen ist. Entgegen den Ausführungen des Beschuldigten vor Vor- instanz (vgl. Prot. I S. 8) ist dem Lehrzeugnis indes zu entnehmen, dass er seinen Lehrbetrieb per 30. Juni 2018 verlassen wird bzw. verlassen hat. Ob er zurzeit ei- ne Arbeitsstelle hat, ist nicht bekannt. Auch die Verteidigung äusserte sich hierzu nicht (vgl. Urk. 37). Der Beschuldigte ist Vater eines achtjährigen Sohnes, wel- chen er regelmässig sieht. Zur Zeit der Hauptverhandlung lebte der Beschuldigte allein in einer Zweizimmerwohnung in B._____ [Gemeinde im Kanton Aargau] (Prot. I S. 7 f.). Mittlerweile ist er nach C._____ [Gemeinde im Kanton Aargau] ge- zogen, wo er offenbar Unterstützung einer befreundeten Familie erhält (Prot. I S. 9 f.). Die berufliche und persönliche Situation des Beschuldigten wirkt weder besonders de- noch besonders stabilisierend und hat damit keinen direkten Ein- fluss auf die Legalprognose. Zurecht erwog die Vorinstanz indes, dass sich die ursprünglich schwierigen (persönlichen) Verhältnisse des Beschuldigten stabili- siert haben. Allerdings ist der Beschuldigte mittlerweile über 30 Jahre alt, weshalb dies bis zu einem gewissen Grad vorausgesetzt werden darf.</w:t>
      </w:r>
    </w:p>
    <w:p>
      <w:r>
        <w:rPr>
          <w:b/>
        </w:rPr>
        <w:t>E. 6</w:t>
      </w:r>
    </w:p>
    <w:p>
      <w:r>
        <w:t>Bei einer Gesamtwürdigung wird die strafrechtliche Vorbelastung des Be- schuldigten durch die übrigen Umstände nicht kompensiert. Es kann daher nicht mehr vom Fehlen einer ungünstigen Prognose ausgegangen werden. Demzufolge ist der Vollzug der von der Vorinstanz ausgefällten Freiheitsstrafe von 11 Monaten nicht aufzuschieben und die Strafe zu vollziehen. IV. Massnahme / Tätigkeitsverbot 1. Die Vorinstanz sah von der Anordnung eines Tätigkeitsverbotes ab. Sie erwog zusammengefasst, da beim vorliegenden untauglichen Versuch kein Ver- gehen oder Verbrechen an einer schutzbedürftigen Person begangen worden sei,</w:t>
      </w:r>
    </w:p>
    <w:p>
      <w:r>
        <w:t>- 11 - sei anzunehmen, dass die geforderte Tatbestandsmässigkeit zur Auslösung des Automatismus' eines Tätigkeitsverbotes nicht erfüllt sei. Das beantragte Verbot erweise sich unter den konkreten Umständen als schwerwiegende Behinderung im beruflichen Fortkommen des Beschuldigten, weshalb ein zwingendes Tätigkeitsverbot aufgrund der gesamten konkreten Umstände (Versuch, unklare sexuelle Vorlieben des Beschuldigten, unklares Gefahrenpotential für Kinder im Schutzalter, Beginn der Erwerbstätigkeit, Erschwernis des beruflichen Fort- kommens) sich als unverhältnismässig erweise (Urk. 21 S. 27 ff.). Die Staatsanwaltschaft argumentiert, gerade weil das Berufsverbot an den schlechten Leumund anknüpfe, erweise sich die Anordnung eines Berufsverbotes gegen den Beschuldigten im vorliegenden Fall als angemessen. Die Anknüpfung eines Berufsverbotes an die tatsächliche Schädigung eines minderjährigen Opfers durch die Vorinstanz widerspreche nicht nur dem Wortlaut, sondern auch dem Sinn des Gesetzes (Urk. 23 S. 5). 2. Gemäss Art. 67 Abs. 3 lit. b StGB verbietet das Gericht jemandem für</w:t>
      </w:r>
    </w:p>
    <w:p>
      <w:r>
        <w:rPr>
          <w:b/>
        </w:rPr>
        <w:t>E. 10</w:t>
      </w:r>
    </w:p>
    <w:p>
      <w:r>
        <w:t>Jahren verboten. V. Kosten- und Entschädigungsfolgen 1. 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wurden (DOMEISEN, in: BSK StPO, a.a.O., N 6 zu Art. 428). Im vorliegenden Ver- fahren obsiegt die appellierende Staatsanwaltschaft vollumfänglich. Die Kosten des vorliegenden Berufungsverfahrens mit einer Gerichtsgebühr von Fr. 2'500.– sind somit dem Beschuldigten aufzuerlegen. Die Kosten der amtlichen Verteidi- gung sind einstweilen – unter dem Rückforderungsvorbehalt von Art. 135 Abs. 4 StPO – auf die Gerichtskasse zu nehmen. 2. Der amtliche Verteidiger des Beschuldigten reichte für das Berufungs- verfahren eine Honorarnote für Aufwendungen von 4.5 Stunden und Auslagen von Fr. 50.– ein (Urk. 52). Noch nicht berücksichtigt sind der Aufwand für das Studium des Berufungsurteils und die Abschlussarbeiten – insbesondere eine Nachbesprechung mit dem Beschuldigten. Hierfür sind weitere zwei Stunden einzusetzen. Zu entschädigen sind damit ein Aufwand von insgesamt 6.5 Stunden und Auslagen von Fr. 50.–. Der amtliche Verteidiger des Beschuldigten ist somit mit Fr. 1'593.95 inkl. MwSt. zu entschädigen.</w:t>
      </w:r>
    </w:p>
    <w:p>
      <w:r>
        <w:t>- 14 - Es wird beschlossen: 1. Es wird festgestellt, dass das Urteil des Bezirksgerichtes Zürich, 10. Abtei- lung - Einzelgericht, vom 9. März 2018 wie folgt in Rechtskraft erwachsen ist: 1. Der Beschuldigte ist schuldig - der versuchten sexuellen Handlung mit Kindern im Sinne von Art. 187 Ziff. 1 in Verbindung mit Art. 22 Abs. 1 StGB, - der mehrfachen Pornographie im Sinne von Art. 197 Abs. 5 Satz 1 und 2 StGB, - des vorsätzlichen Fahrens in fahrunfähigem Zustand im Sinne von Art. 91 Abs. 2 SVG. 2. Der Beschuldigte wird bestraft mit 11 Monaten Freiheitsstrafe, wovon bis und mit heute 2 Tage durch Haft erstanden sind. 3. (…) 4. (…) 5. Die folgenden, gemäss Sicherungsliste vom 9. September 2016 der Stadtpolizei Zürich sichergestellten und bei der Stadtpolizei Zürich, Fachgruppe Milieu-/Sexual- delikte, lagernden Gegenstände werden eingezogen und der Lagerbehörde zur Ver- nichtung überlassen: - Notebook Asus K72F (Position 4 der Sicherstellungsliste) - Notebook Acer Aspire (Position 25 der Sicherstellungsliste) - Harddisk Hitachi Deskstar 320 GB (Position 23 der Sicherstellungsliste) - 5 g brutto Marihuana (Position 3 der Sicherstellungsliste). 6. Die folgenden, gemäss Sicherungsliste vom 9. September 2016 der Stadtpolizei Zürich sichergestellten und bei der Stadtpolizei Zürich, Fachgruppe Milieu-/Sexual- delikte, lagernden Gegenstände werden dem Beschuldigten innert 2 Monaten nach Eintritt der Rechtskraft des Urteils auf erstes Verlangen herausgegeben und ansons- ten nach dieser Frist der Lagerbehörde zur gutscheinenden Verwendung überlassen: - Laptop HP Elite Book 8560p (Position 1 der Sicherstellungsliste)</w:t>
      </w:r>
    </w:p>
    <w:p>
      <w:r>
        <w:t>- 15 - - USB-Stick np/orange (Position 2 der Sicherstellungsliste) - Ladekabel zu Laptop Asus (Position 4.1 der Sicherstellungsliste) - externe HD Seagate (Position 5 der Sicherstellungsliste) - USB Stick Kingsten (Position 8 der Sicherstellungsliste) - Sony USB Stick 32 GB (Position 9 der Sicherstellungsliste) - USB Stick disk2go.com 4 GB (Position 10 der Sicherstellungsliste) - USB Stick disk2go.com 4 GB (Position 11 der Sicherstellungsliste) - Sony Memory Stick Card 2 GB (Position 12 der Sicherstellungsliste) - Tablet Lenco (Position 13 der Sicherstellungsliste) - Tablet Archos (Position 14 der Sicherstellungsliste) - Samsung Mobiltelefon schwarz, aufschiebbar (Position 15 der Sicherstellungs- liste) - Mobiltelefon Dublin (Position 16 der Sicherstellungsliste) - Mobiltelefon Samsung, weiss (defekt) gross (Position 17 der Sicherstellungs- liste) - Nokia, Mikro SD Karte (Position 18 der Sicherstellungsliste) - Sandisk 16 GB SD Karte (Position 19 der Sicherstellungsliste) - Micro SD Karte Samsung (Position 20 der Sicherstellungsliste) - Mobiltelefon Samsung, weiss klein (defekt) (Position 21 der Sicherstellungs- liste) - externe HD Samsung, HD200HJ (Position 22 der Sicherstellungsliste) - externe HD Samsung, HD321KJ (Position 23 der Sicherstellungsliste) - SD Karte, Mikro 8 GB (Position 26 der Sicherstellungsliste) - Mikro Karte, OV, 8 GB (Position 27 der Sicherstellungsliste) - Mikro Karte, Samsung 32 EVO (Position 28 der Sicherstellungsliste). 7. Die Entscheidgebühr wird festgesetzt auf:</w:t>
      </w:r>
    </w:p>
    <w:p>
      <w:r>
        <w:t>- 16 - Fr. 1'800.– ; die weiteren Kosten betragen: Fr. 6'090.– Gebühr für das Vorverfahren; Fr. 2'135.70 amtliche Verteidigung. 8. Die Kosten der Untersuchung und des gerichtlichen Verfahrens, ausgenommen die- jenigen der amtlichen Verteidigung, werden dem Beschuldigten auferlegt. 9. Die Kosten der amtlichen Verteidigung werden auf die Gerichtskasse genommen; vorbehalten bleibt eine Nachforderung gemäss Art. 135 Abs. 4 StPO.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