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SB180184 vom 8. Juni 2018</w:t>
      </w:r>
    </w:p>
    <w:p>
      <w:r>
        <w:t>ZH Obergericht, 2018-06-08, DE</w:t>
      </w:r>
    </w:p>
    <w:p>
      <w:r>
        <w:rPr>
          <w:b/>
        </w:rPr>
        <w:t xml:space="preserve">Quelle: </w:t>
      </w:r>
      <w:r>
        <w:t>https://mcp.opencaselaw.ch/entscheid/zh_obergericht_SB180184</w:t>
      </w:r>
    </w:p>
    <w:p>
      <w:r>
        <w:t>FR: ZH_OBERGERICHT SB180184 du 8 juin 2018</w:t>
      </w:r>
    </w:p>
    <w:p>
      <w:r>
        <w:t>IT: ZH_OBERGERICHT SB180184 del 8 giugno 2018</w:t>
      </w:r>
    </w:p>
    <w:p>
      <w:pPr>
        <w:pStyle w:val="Heading2"/>
      </w:pPr>
      <w:r>
        <w:t>Erwägungen</w:t>
      </w:r>
    </w:p>
    <w:p>
      <w:r>
        <w:rPr>
          <w:b/>
        </w:rPr>
        <w:t>E. 10</w:t>
      </w:r>
    </w:p>
    <w:p>
      <w:r>
        <w:t>Abteilung, vom 13. März 2018 Berufung an (Prot. I S. 22). Das begründete Urteil wurde dem Beschuldigten am 26. April 2018 zugestellt (Urk. 27/2), mit dem Hinweis, dass die berufungserhebende Partei nach Zustellung des begründeten Entscheids innert 20 Tagen beim Obergericht des Kantons Zürich die schriftliche Berufungserklärung einzureichen habe (Urk. 25 S. 23). Die bis zum 16. Mai 2018 andauernde Frist zur Einreichung der Berufungserklärung verstrich unbenützt. In Anwendung von Art. 403 Abs. 1 und Abs. 3 StPO ist daher auf die Berufung des Beschuldigten nicht einzutreten. Die Kosten des Rechtsmittelverfahrens tragen die Parteien im Umfang ihres Obsiegen oder Unterliegens. Als unterliegend gilt auch diejenige Partei, auf deren Rechtsmittel nicht eingetreten wird oder die das Rechtsmittel zurückzieht (Art. 428 Abs. 1 StPO). Die Gerichtsgebühr ist in Anwendung von Art. 424 Abs. 1 StPO i.V.m. §§ 16, 2 Abs. 1 lit. b, c und d sowie 14 GebV OG mit Fr. 400.– zu veranschlagen. Ausgangsgemäss sind die Kosten des Berufungsverfahrens dem Beschuldigten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