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SB180165 vom 5. Oktober 2018</w:t>
      </w:r>
    </w:p>
    <w:p>
      <w:r>
        <w:t>ZH Obergericht, 2018-10-05, DE</w:t>
      </w:r>
    </w:p>
    <w:p>
      <w:r>
        <w:rPr>
          <w:b/>
        </w:rPr>
        <w:t xml:space="preserve">Quelle: </w:t>
      </w:r>
      <w:r>
        <w:t>https://mcp.opencaselaw.ch/entscheid/zh_obergericht_SB180165</w:t>
      </w:r>
    </w:p>
    <w:p>
      <w:r>
        <w:t>FR: ZH_OBERGERICHT SB180165 du 5 octobre 2018</w:t>
      </w:r>
    </w:p>
    <w:p>
      <w:r>
        <w:t>IT: ZH_OBERGERICHT SB180165 del 5 ottobre 2018</w:t>
      </w:r>
    </w:p>
    <w:p>
      <w:pPr>
        <w:pStyle w:val="Heading2"/>
      </w:pPr>
      <w:r>
        <w:t>Erwägungen</w:t>
      </w:r>
    </w:p>
    <w:p>
      <w:r>
        <w:rPr>
          <w:b/>
        </w:rPr>
        <w:t>E. 21</w:t>
      </w:r>
    </w:p>
    <w:p>
      <w:r>
        <w:t>Monaten Freiheitsstrafe, bedingt vollziehbar mit zwei Jahren Probezeit. Der Beschuldigte wurde zudem für fünf Jahre des Landes verwiesen. Im Übrigen ord- nete das Gericht die Herausgabe eines beschlagnahmten Mobiltelefons an den Beschuldigten und die Verwendung beschlagnahmten Bargeldes zur Kostende- ckung an. Die Verfahrenskosten wurden dem Beschuldigten auferlegt. c) Gegen dieses Urteil liess der Beschuldigte rechtzeitig die Berufung an- melden (Urk. 28; Art. 399 Abs. 1 StPO) und sodann auch fristgerecht die Beru- fungserklärung einreichen (Urk. 35; Art. 399 Abs. 3 StPO, vgl. Urk. 31/2). Er strebt</w:t>
      </w:r>
    </w:p>
    <w:p>
      <w:r>
        <w:t>- 5 - eine Reduktion der Freiheitsstrafe auf 14 Monate an und beantragt ausserdem, dass von einer Landesverweisung abzusehen sei (Urk. 35 S. 2). Die Staatsan- waltschaft Zürich-Sihl teilte dem Gericht am 11. Mai 2018 mit, dass sie auf eine Anschlussberufung verzichte und die Bestätigung des vorinstanzlichen Urteils be- antrage (Urk. 38). d) Das anlässlich der Berufungsverhandlung von der Verteidigung gestellte Gesuch, der Beschuldigte sei von der Teilnahme an der Berufungsverhandlung zu dispensieren, wurde durch die Präsidentin bewilligt (Prot. II S. 4 f.). Beweisanträ- ge wurden keine gestellt. Nach der heutigen Berufungsverhandlung erweist sich der Prozess als spruchreif. II. Das bezirksgerichtliche Urteil blieb hinsichtlich des Schuldspruchs (Ziff. 1), der Entscheidungen über beschlagnahmte Sachen (Ziff. 5 und 6) sowie des Kos- tendispositivs (Ziff. 7-10) unangefochten. Aufgrund dessen, dass dem Beschuldig- ten in der Anklage derselbe Vorwurf gemacht wird, wie seinem Mittäter B._____, welcher in dem von ihm geführten Berufungsverfahren (Geschäfts-Nr. SB180164) einen Freispruch vom Vorwurf des Anstaltentreffens zur qualifizierten Widerhand- lung gegen das Betäubungsmittelgesetz im Sinne von Art. 19 Abs. 1 lit. g in Ver- bindung mit Art. 19 Abs. 2 lit. a BetmG erzielte, kann der Schuldpunkt nicht insge- samt für rechtskräftig erklärt werden. Vielmehr haben sich die Erwägungen des Obergerichts im Fall B._____, welche nachfolgend (Erw. III.) der Vollständigkeit halber auch im vorliegenden Fall wiedergegeben werden, auch zugunsten des Beschuldigten auszuwirken und ist das vorinstanzliche Urteil diesbezüglich abzu- ändern (Art. 392 StPO). Dass gegen die Mittäter separate Anklagen erhoben und die Gerichtsverfahren nicht vereinigt wurden, lag im Ermessen der Behörden bzw. Gerichte und darf unter diesen Umständen nicht zum Nachteil des Beschuldigten gereichen. Somit ist vorab in einem Beschluss festzustellen, dass das Urteil des Bezirksgerichtes Zürich, 1. Abteilung, vom 30. Januar 2018 bezüglich der Disposi- tivziffern 1 teilweise (Schuldspruch betreffend qualifizierte Widerhandlung gegen</w:t>
      </w:r>
    </w:p>
    <w:p>
      <w:r>
        <w:t>- 6 - das Betäubungsmittelgesetz im Sinne von Art. 19 Abs. 1 lit. d in Verbindung mit Art. 19 Abs. 2 lit. a BetmG), 5 (Herausgabe eines Mobiltelefons), 6 (Einziehung von Bargeld) sowie 7-10 (Kostendispositiv) in Rechtskraft erwachsen ist. Die Ge- währung des bedingten Strafvollzugs mit zwei Jahren Probezeit (Ziff. 3) ist nicht Gegenstand der Berufung, muss aber als Teil des (im Übrigen angefochtenen) Strafpunkts in die zweitinstanzliche Überprüfung des Urteils einbezogen werden. III. Wie unter Erw. I bereits zusammengefasst angeführt, wird dem Beschuldig- ten lediglich vorgeworfen, er habe seinen Drogenanteil verkaufen wollen, wozu es aber aufgrund seiner Verhaftung nicht mehr gekommen sei. Die Entschlussfas- sung und Absicht zum Verkauf bzw. der Umstand, dass die Drogen ausschliess- lich zum Zweck des Verkaufs erworben wurden, bedeutet aber noch kein Anstal- tentreffen zum Verkauf. Ein solches ist erst gegeben, wenn der Täter Handlungen ausführt, welche der Vorbereitung einer weiteren Widerhandlung im Sinne von Art. 19 Abs. 1 lit. a-f BetmG dienen (Fingerhuth/Schlegel/Jucker, BetmG- Kommentar, 3.A., Zürich 2016, N 100 zu Art. 19). Eine solche Tathandlung ist der Anklage vorliegend nicht zu entnehmen. Damit ist der Beschuldigte des Anstalten- treffens zur qualifizierten Widerhandlung gegen das Betäubungsmittelgesetz im Sinne von Art. 19 Abs. 1 lit. g in Verbindung mit Art. 19 Abs. 2 lit. a BetmG freizu- sprechen. IV. 1. a) Der Strafrahmen für schwere Fälle von Drogenhandel im Sinne von Art. 19 Abs. 2 BetmG reicht von einem bis zu zwanzig Jahren Freiheitsstrafe. Damit kann eine Geldstrafe verbunden werden. b) Die Strafe ist nach dem Verschulden des Täters zu bemessen, wobei dessen Vorleben und persönliche Verhältnisse sowie die Wirkung der Strafe auf</w:t>
      </w:r>
    </w:p>
    <w:p>
      <w:r>
        <w:t>- 7 - sein Leben zu berücksichtigen sind (Art. 47 Abs. 1 StGB). Das Verschulden be- misst sich nach der Schwere der Rechtsgutverletzung, der Verwerflichkeit der Tathandlungen, den Beweggründen und Zielen des Täters sowie danach, inwie- weit er nach den inneren und äusseren Umständen in der Lage war, die Verlet- zung zu vermeiden (Art. 47 Abs. 2 StGB). 2. Der Beschuldigte beteiligte sich an der gemeinschaftlichen Einfuhr von insgesamt ca. 600 Gramm Kokain von sehr guter Qualität aus Holland und über- nahm einen Drittel davon zum Zwecke des Verkaufs. Kokain ist eine gefährliche Droge mit hohem Suchtpotenzial. Die Verfehlungen des Beschuldigten bezogen sich auf ein Vielfaches der Menge von 18 Gramm reinem Kokain, ab welcher nach der bundesgerichtlichen Rechtsprechung ein schwerer Fall im Sinne von Art. 19 Abs. 2 BetmG vorliegt (BGE 109 IV 145). Er stand zwar am Ende der Ver- kaufskette, verfügte aber zusammen mit seinen Komplizen immerhin über interna- tionale Kontakte zur Beschaffung von Drogen. Damit befand sich der Beschuldig- te im Gefüge des Kokainhandels zwar noch auf einer unteren Stufe, war aber doch mehr als nur ein mit Kleinstmengen handelnder Gassendealer. Zu seinen Gunsten kann berücksichtigt werden, dass er sich nur einmal für kurze Zeit im Drogenhandel betätigte. Keine Verschuldensmilderung ergibt sich hingegen aus dem Umstand, dass das Kokain letztlich nicht zu den Konsumenten gelangte, denn dies war nur dem raschen Eingreifen der Polizei zu verdanken. Der Be- schuldigte konsumiert selber keine illegalen Drogen (Urk. 5 S. 5, Prot. I S. 9). Er war auch nicht in einer finanziellen Notlage, sondern verfügte über mehrere tau- send Franken, die er zu einem sehr günstigen Einkaufspreis in Kokain "investier- te" (Urk. 5 S. 3-5), um hernach einen entsprechend hohen Gewinn erzielen zu können. Seine Tat wiegt allerdings im Rahmen des qualifizierten Tatbestandes von Art. 19 Abs. 2 BetmG in objektiver und subjektiver Hinsicht noch leicht. Die von der Vorinstanz festgesetzte Einsatzstrafe von 26 Monaten erscheint als an- gemessen. 3. a) A._____ wurde 1985 in … (Dominikanische Republik) geboren. Er wuchs zusammen mit zwei Brüdern und einer Schwester bei seinen Eltern in D._____ [Stadt in der Dominikanischen Republik] auf und besuchte dort die</w:t>
      </w:r>
    </w:p>
    <w:p>
      <w:r>
        <w:t>- 8 - Grundschule und das Gymnasium. Seit 2003 lebt er allerdings in Spanien – aktu- ell in Madrid – und ist mittlerweile auch Bürger dieses Landes geworden. Er ging ursprünglich dorthin, um Malerei zu studieren, bildete sich dann aber im Informa- tikbereich weiter und betätigte sich ausserdem als Elektriker, Maler und Küchen- hilfe. Zuletzt arbeitete er bis August 2016 auf einer Baustelle. Danach war er stel- lenlos. Aktuell soll er ein ernsthaftes Stellenangebot als Elektriker erhalten haben, wo er am Anfang Euro 1'200.– verdienen soll. Der Beschuldigte lebt mit seiner Freundin zusammen, die als Kosmetikerin arbeitet, und hat mit dieser eine fünf- jährige Tochter. Er gibt an, weder Vermögen noch Schulden zu haben. Sein Vater lebt noch in D._____, die Mutter und die Geschwister in Spanien (Urk. 2/3 S. 4/5, Urk. 14, Prot. I S. 6/7, Urk. 43 S. 2 in Verbindung mit Prot. II S. 5 f.). b) Der Beschuldigte ist in der Schweiz nicht vorbestraft (Urk. 14, Urk. 34) und war nach eigenen Angaben auch im Ausland noch nie in ein Strafverfahren involviert (Prot. I S. 7). c) Aus den dargelegten persönlichen Verhältnissen ergeben sich keine straferhöhend oder strafmindernd zu berücksichtigenden Faktoren. 4. a) Es bestehen keine Straferhöhungsgründe. b) Deutlich strafmindernd kann das vollumfängliche Geständnis des Be- schuldigten berücksichtigt werden, auch wenn er dieses erst nach einigen Wo- chen Untersuchungshaft und angesichts einer Beweislage ablegte, welche ihm wenig Raum für ein erfolgversprechendes Bestreiten der Tat liess. Die vom Be- zirksgericht unter diesem Titel gewährte Strafreduktion um fünf Monate und die demzufolge resultierenden 21 Monate Freiheitsstrafe erscheint angemessen. c) Wie von der Verteidigung vorgebracht, ist bei Mittätern ein Strafmassver- gleich vorzunehmen (vgl. Urk. 43 S. 2 in Verbindung mit Prot. II S. 5). Der Mittäter C._____ wurde mit Urteil des Bezirksgerichtes Zürich, 2. Abteilung, vom 11. Oktober 2017 rechtskräftig zu 19 Monaten Freiheitsstrafe verurteilt (SB180164: Urk. 46/1 S. 26). Nach Würdigung der Tatkomponenten erachtete das Bezirksgericht Zürich eine Einsatzstrafe von 24 Monaten als angemessen</w:t>
      </w:r>
    </w:p>
    <w:p>
      <w:r>
        <w:t>- 9 - (a.a.O. S. 12). Hinsichtlich der Tatkomponenten sind die Fälle der beiden Mittäter fast gleich gelagert, mit dem Unterschied, dass C._____ eine Menge von 8 Gramm Kokaingemisch an eine nicht weiter bekannte Drogenabnehmerin ver- kauft hat (a.a.O. S. 10). Dies fällt bei der Strafzumessung aber kaum ins Gewicht, hatte doch auch der Beschuldigte vor, das Kokain zu verkaufen und wurde er le- diglich aufgrund seiner Verhaftung davon abgehalten. Selbst wenn die Tatkompo- nenten damit praktisch identisch sind und beim Vergleich der Täterkomponenten zu berücksichtigen ist, dass C._____ im Gegensatz zum Beschuldigten während laufender Strafuntersuchung delinquiert hat, ist eine Abweichung der schlussend- lich ausgefällten Strafen von gerade einmal 2 Monaten hinzunehmen. Der Grund- satz der Individualisierung und der dem Sachrichter vom Gesetz bei der Strafzu- messung eingeräumte weite Ermessensspielraum führen nach der Rechtspre- chung notwendigerweise zu einer gewissen, vom Gesetzgeber in Kauf genom- menen Ungleichheit. Dies gilt umso mehr, als C._____ von einer anderen Instanz verurteilt wurde und es mit der richterlichen Unabhängigkeit unvereinbar wäre, müss- te sich das Obergericht des Kantons Zürich gegen seine Überzeugung einem ande- ren Urteil anpassen (BGE135 IV 191 E. 3.1 ff.). d) Die Vorinstanz hat dem Beschuldigten neben der Polizei- und Untersu- chungshaft (Urk. 13/1-10) einen weiteren Tag auf die Strafe angerechnet, den er nach der Haftentlassung im Gewahrsam des Migrationsamtes verbringen musste (Urk. 13/10, Urk. 26 S. 3). Die Anrechnung (Art. 51 StGB) von insgesamt 52 Ta- gen Haft ist schon aus prozessualen Gründen (Art. 391 Abs. 2 StPO) ohne Weite- res zu bestätigen. 5. Da der Beschuldigte Ersttäter ist, hat ihm die Vorinstanz richtigerweise den bedingten Vollzug der Freiheitsstrafe gewährt (Art. 42 Abs. 1 StGB) und die Probezeit auf das gesetzliche Minimum von zwei Jahren festgesetzt (Art. 44 Abs. 1 StGB). V.</w:t>
      </w:r>
    </w:p>
    <w:p>
      <w:r>
        <w:t>- 10 - 1. a) Wird ein Ausländer der qualifizierten Widerhandlung gegen das Betäu- bungsmittelgesetz (Art. 19 Abs. 2 BetmG) schuldig gesprochen, so verweist ihn das urteilende Gericht unabhängig von der Höhe der Strafe für fünf bis 15 Jahre aus der Schweiz (Art. 66a Abs. 1 lit. o StGB). Es kann ausnahmsweise von der Landesverweisung absehen, wenn diese für den Ausländer einen schweren per- sönlichen Härtefall bewirken würde und die öffentlichen Interessen an der Lan- desverweisung gegenüber den privaten Interessen des Ausländers am Verbleib in der Schweiz nicht überwiegen. Dabei ist der besonderen Situation von Auslän- dern Rechnung zu tragen, die in der Schweiz geboren oder aufgewachsen sind (Art. 66a Abs. 2 StGB). Im Bereich der obligatorischen Landesverweisung (Art. 66a StGB) steht dem Richter somit nur ein sehr beschränkter Ermessens- spielraum offen. Die Anwendung der Härtefallklausel soll nach dem ausdrückli- chen Willen des Gesetzgebers auf Ausnahmefälle beschränkt bleiben, in denen die Landesverweisung in krasser Weise unverhältnismässig wäre. Zu denken ist etwa an Ausländer, die in der Schweiz geboren und aufgewachsen sind oder sich seit Jahrzehnten im Lande aufhalten, kaum noch Beziehungen zu ihrer Heimat haben und sich dort nicht mehr zurechtfinden würden. b) Der Beschuldigte hielt sich, als er das heute zu ahndende Delikt beging, erst seit kurzer Zeit als Tourist in der Schweiz auf (Urk. 1 S. 2) und ist im Übrigen zusammen mit seiner Partnerin und dem gemeinsamen Kind in Spanien wohn- haft. In der Schweiz hatte er weder einen geregelten Wohnsitz noch eine Aufent- haltsbewilligung. Alle Angehörigen des Beschuldigten leben entweder in Spanien oder in der Dominikanischen Republik (Urk. 2/3 S. 5). Von einem Härtefall, in dem von der Landesverweisung abgesehen werden könnte, kann somit nicht im Ge- ringsten die Rede sein. 2. a) Der Beschuldigte lässt indessen vorbringen, dass er aufgrund des zwi- schen der Schweiz und der Europäischen Union bestehenden Freizügigkeitsab- kommens (FZA; SR 0.142.112.681) nicht des Landes verwiesen werden dürfe. Gemäss Art. 5 Abs. 1 des Anhangs I zum FZA sei eine solche Massnahme nur zulässig, wenn vom betroffenen Ausländer eine Gefährdung der öffentlichen Si- cherheit und Ordnung ausgehe. Dies sei beim Beschuldigten, der erstmals eine</w:t>
      </w:r>
    </w:p>
    <w:p>
      <w:r>
        <w:t>- 11 - Straftat verübt habe und in Spanien in geordneten Verhältnissen lebe und arbeite, nicht der Fall. b) Der Beschuldigte ist Bürger von Spanien und kann sich, weil Spanien ein Mitgliedstaat der EU ist, auf das FZA (SR 0.142.112.681) berufen. Dieses berech- tigt ihn grundsätzlich, sich zum Zwecke einer Erwerbstätigkeit in der Schweiz auf- zuhalten (Art. 4 FZA). Ausserdem gibt das FZA den Bürgern der beteiligten Staa- ten das Recht, sich zur Stellensuche für höchstens sechs Monate in die Schweiz zu begeben (Art. 2 Abs. 1 des Anhangs I zum FZA). Mit der Anordnung einer strafrechtlichen Landesverweisung werden dem Beschuldigten die genannten Aufenthaltsrechte für die Dauer dieser Massnahme entzogen. Gemäss Art. 5 Abs. 1 des Anhangs I zum FZA ist dies nur aus Gründen der öffentlichen Ord- nung, Sicherheit und Gesundheit zulässig. Soweit für die Anwendung des FZA Begriffe des EU-Gemeinschaftsrechts herangezogen werden, bestimmt Art. 16 Abs. 2 FZA weiter, dass dafür die einschlägige Rechtsprechung des Europäi- schen Gerichtshofs (EuGH) aus der Zeit vor der Ratifizierung des FZA berück- sichtigt wird. Art. 5 Abs. 2 des Anhangs I zum FZA nennt schliesslich verschiede- ne EU-Richtlinien als solche, auf die im Sinne von Art. 16 FZA Bezug genommen werde. Mit Blick auf die strafrechtliche Landesverweisung ist dabei die Richtlinie 64/221/EWG von Bedeutung. Diese statuiert in Art. 3 Abs. 1 und 2, dass bei Massnahmen der öffentlichen Ordnung oder Sicherheit ausschliesslich das per- sönliche Verhalten der betreffenden Einzelpersonen ausschlaggebend sei. Straf- rechtliche Verurteilungen allein könnten solche Massnahmen nicht ohne Weiteres begründen. Was dies genau bedeuten soll, ist indessen schwer zu ergründen, sind doch gerade Verhaltensweisen, die zu strafrechtlichen Sanktionen führen, in optima forma ein Teil des persönlichen Verhaltens, der die öffentliche Sicherheit und Ordnung gefährden kann. Gemeint ist wohl, dass Straftaten von einer gewis- sen Schwere und/oder Häufigkeit sein müssen, um die Annahme einer Gefähr- dung von Sicherheit und Ordnung zu begründen, und dass zudem andere Um- stände, die für einen Verbleib des Ausländers im Lande sprechen, nicht unbe- rücksichtigt bleiben dürfen. Gefordert wird damit eine Prüfung der gesamten Um- stände jedes Einzelfalls. Massgeblich für die Beurteilung, ob eine Gefährdung der öffentlichen Sicherheit und Ordnung vorliegt, ist naturgemäss zunächst die Art</w:t>
      </w:r>
    </w:p>
    <w:p>
      <w:r>
        <w:t>- 12 - und Schwere der in Frage stehenden Delikte und sodann in erster Linie das Aus- mass der beim Täter diesbezüglich bestehenden Rückfallgefahr (BGE 136 II 5 E. 4.2 mit Hinweisen). c) Ein Konflikt zwischen dem Staatsvertragsrecht und dem Landesrecht kann sich dabei ergeben, wenn und soweit ersteres den Begriff der "Gefährdung der öffentlichen Sicherheit und Ordnung" enger fasst als das Strafgesetzbuch. Das FZA ist als völkerrechtlicher Vertrag nicht nach den Regeln des innerstaatli- chen Rechts, sondern aus sich heraus nach Treu und Glauben und im Lichte sei- nes Ziels und Zwecks auszulegen. Dies kann allerdings nicht bedeuten, dass der Vertrag ohne Weiteres gleich auszulegen ist, wie dies der EuGH als Organ der EU tut, ansonsten das offensichtlich absurde Ergebnis resultierte, dass eine Ver- tragspartei einseitig festlegen kann, wie ein zweiseitiger Vertrag zwischen gleich- berechtigten Parteien auszulegen ist. Richtigerweise kann und muss jede Ver- tragspartei das Abkommen nach Treu und Glauben, aber im Übrigen eigenständig anwenden. Von der Auslegung im FZA enthaltener, aus dem EU-Recht über- nommener Bestimmungen seitens des EuGH ist immerhin nur aus triftigen Grün- den abzuweichen (Urteil des Bundesgerichts 2C_301/2016 vom 19. Juli 2017, E. 2.2 mit Hinweis auf BGE 139 II 393). Nach der Rechtsprechung des EuGH sind Fernhaltemassnahmen gegenüber Bürgern von EU-Mitgliedsstaaten nur zulässig, wenn ihre weitere Anwesenheit im Lande die öffentliche Ordnung im konkreten Einzelfall nicht nur stört, sondern tatsächlich und in einem so erheblichen Aus- masse gefährdet, dass grundlegende Interessen der Gesellschaft betroffen sind ("une menace réelle et d'une certaine gravité affectant un intérêt fondamental de la société", Urteil des Bundesgerichts 2C_238/2012 vom 30. Juli 2012, E. 2.3). d) Das Schweizerische Strafgesetzbuch statuiert demgegenüber, dass die Begehung einer der in Art. 66a Abs. 1 aufgelisteten Straftaten in aller Regel zur Landesverweisung führt. Eine Einzelfallprüfung, wie sie insbesondere auch Art. 3 der gemäss FZA zu beachtenden Richtlinie 64/221/EWG verlangt, ist bei solchen Delikten nur im Rahmen der sog. Härtefallklausel möglich. Diese lässt indessen ein Absehen von der Landesverweisung nur ausnahmsweise zu, wenn sie für den betroffenen Ausländer einen schweren persönlichen Härtefall bewirken würde und</w:t>
      </w:r>
    </w:p>
    <w:p>
      <w:r>
        <w:t>- 13 - die öffentlichen Interessen an der Landesverweisung gegenüber den privaten In- teressen des Ausländers am Verbleib in der Schweiz nicht überwiegen (Art. 66a Abs. 2 StGB). Ausser Zweifel steht zwar, dass die Landesverweisung der Wah- rung der öffentlichen Sicherheit dient. Der Katalog der zur obligatorischen Lan- desverweisung führenden Delikte umfasst indessen neben sehr schweren auch Straftaten wie etwa den sog. Einschleichdiebstahl (Art. 66a Abs. 1 lit. d StGB), bei denen nach dem Massstab der EuGH-Rechtsprechung die Voraussetzungen für eine Wegweisung häufig nicht erfüllt sein dürften. Ein grundsätzlicher und un- überbrückbarer Normkonflikt zwischen Landes- und Völkerrecht besteht damit zwar nicht ohne Weiteres, weil in solchen Fällen bei der Anwendung der Härte- fallklausel gesagt werden könnte, das Interesse der Schweiz an der Fernhaltung des Täters sei vergleichsweise gering. Nicht zu übersehen ist aber, dass gleich- zeitig auch das Interesse des Ausländers am Verbleib in der Schweiz schwach ausgeprägt sein kann, weil er sich beispielsweise erst seit kurzem im Lande be- findet und auch sonst keine engen Verbindungen zur Schweiz hat. Zumindest in solchen Konstellationen ist eine Landesverweisung gemäss FZA unzulässig, kann aber zugleich nach Landesrecht kaum davon Umgang genommen werden. Es ist deshalb zu klären, ob im Falle eines solchen Konflikts zwischen FZA und Landes- recht dem Staatsvertrag oder den zwischenzeitlich erlassenen Bestimmungen des Strafgesetzbuchs über die Landesverweisung der Vorrang zukommt. 3. a) Die Bundesverfassung schreibt vor, dass Bund und Kantone das Völ- kerrecht beachten (Art. 5 Abs. 4 BV). Sie bestimmt ferner, dass Bundesgesetze und Völkerrecht für die rechtsanwendenden Behörden massgebend sind (Art. 190 BV), ohne sich aber darüber zu äussern, welche Rechtsquelle vorrangig ist, wenn sich ein Bundesgesetz und ein vom Bund abgeschlossener Staatsvertrag wider- sprechen. Bundesgesetze können indessen beim Bundesgericht nicht angefoch- ten werden (Art. 189 Abs. 4 BV). Dies ist Ausfluss des grundlegenden Verfas- sungsprinzips der Gewaltenteilung. Auf diesem Prinzip beruht letztlich auch die 1973 begründete sog. Schubert-Praxis (BGE 99 Ib 39): Staatsverträge sind zwar einzuhalten und gehen deshalb grundsätzlich dem Landesrecht vor. Der Bundes- gesetzgeber hat aber die Möglichkeit, bewusst gegen staatsvertragliche Verpflich- tungen zu verstossen und die möglichen zwischenstaatlichen Folgen dieses Ver-</w:t>
      </w:r>
    </w:p>
    <w:p>
      <w:r>
        <w:t>- 14 - haltens wie z.B. die Kündigung des Vertrages oder Retorsionsmassnahmen sei- tens der anderen Vertragspartei in Kauf zu nehmen. Vorliegend wies der Bundes- rat schon in seiner Botschaft zur Volksinitiative "für die Ausschaffung krimineller Ausländer (Ausschaffungsinitiative)" vom 24. Juni 2009 darauf hin, dass das Volksbegehren – welches allerdings noch keine Härtefallklausel enthielt – mit dem FZA nicht vereinbar sei (BBl 2009 5112). Nachdem Volk und Stände die Initiative angenommen hatten, monierte dies der Bundesrat in der Botschaft zur Umset- zung der Initiative erneut (BBl 2013 6059). In der Folge nahm der Nationalrat in der Sitzung vom 20. März 2014 zur Umsetzung der Ausschaffungsinitiative einen Gesetzesentwurf an, der keine Härtefallklausel enthielt (Amtl. Bull. 2014 N 523). Der Ständerat beschloss indessen in der Sitzung vom 10. Dezember 2014 eine Härtefallklausel einzufügen (Amtl. Bull. 2014 S 1247), welche nach einem Diffe- renzbereinigungsverfahren schliesslich am 20. März 2015 von beiden Kammern angenommen wurde (Amtl. Bull. 2015 N 598; vgl. zum ganzen auch die Zusam- menfassung des parlamentarischen Verfahrens auf www.parlament.ch\ Curia Vista\Suche\Geschäftsnummer: 13.056\Zusammenfassung Bot- schaft/Bericht\Verhandlungen). Das Parlament kannte somit die völkerrechtliche Problematik, als es die nun geltenden Bestimmungen über die Landesverweisung erliess. Dies zeigt sich umso mehr, als es den Konflikt durch die Einfügung der Härtefallklausel abschwächte. Damit ist aber davon auszugehen, dass das Par- lament zumindest in den Fällen, in welchen kein Härtefall vorliegt, einen allfällig resultierenden Konflikt mit dem FZA bewusst in Kauf nahm. b) Die II. öffentlich-rechtliche Abteilung des Bundesgerichts befasste sich in BGE 142 II 35 mit dem Verhältnis zwischen dem FZA und dem in der eidgenössi- schen Volksabstimmung vom 9. Februar 2014 gutgeheissenen Art. 121a BV. Sie erwog dazu vorab, dass das Ziel des FZA darin bestehe, die Freizügigkeit auf der Grundlage der in der EU geltenden Bestimmungen zu verwirklichen. Die Ver- tragsstaaten seien übereingekommen, alle erforderlichen Massnahmen zu treffen, damit diesbezüglich eine möglichst parallele Rechtslage bestehe. Das Bundesge- richt weiche deshalb in mittlerweile ständiger Rechtsprechung von der Auslegung abkommensrelevanter unionsrechtlicher Bestimmungen nur bei Vorliegen triftiger Gründe von der Praxis des EuGH ab. Erwägen liesse sich allenfalls, im Lichte der</w:t>
      </w:r>
    </w:p>
    <w:p>
      <w:r>
        <w:t>- 15 - neuen Verfassungsbestimmung das FZA restriktiv auszulegen oder triftige Grün- de zum Abweichen von der Rechtsprechung des EuGH anzunehmen (BGE 142 II 38). Diese Möglichkeit wurde aber vom Bundesgericht verworfen, weil sich die Schweiz gestützt auf das FZA und weitere Abkommen sektoriell am EU-Binnenmarkt beteilige, was nur möglich sei, wenn die einschlägigen Normen des FZA in der EU einerseits und in der Schweiz anderseits gleich verstanden würden. Völkerrechtliche Normen gingen widersprechendem Landesrecht vor. Dieser Grundsatz habe lediglich insofern eine Ausnahme erfahren, als im Rah- men der sog. "Schubert-Praxis" der Gesetzgeber bewusst eine völkerrechtliche Verpflichtung missachten könne. Diese Ausnahme gelte aber im Falle des FZA nicht, weil dieses durch die Annahme in einer Volksabstimmung demokratisch le- gitimiert sei, weil den unter das Abkommen fallenden Personen ansonsten der ge- richtliche Rechtsschutz entzogen werde, und weil schliesslich auch die EU- Mitgliedstaaten verpflichtet seien, dem FZA den Vorrang gegenüber ihrem Lan- desrecht zu geben (a.a.O., S. 39 f.). c) aa) Der vorstehend zitierte Bundesgerichtsentscheid bezieht sich auf Art. 121a BV, wo in Abs. 1 statuiert wird, dass die Schweiz die Zuwanderung von Ausländern eigenständig regelt. Zwischen dieser am 9. Februar 2014 in die Bun- desverfassung eingefügten Bestimmung und dem Grundgedanken des FZA be- steht ein unauflöslicher Widerspruch. Ein solch offensichtlicher Normkonflikt lässt sich im Verhältnis zwischen den Bestimmungen des Strafgesetzbuchs über die Landesverweisung einerseits und dem FZA anderseits nach dem vorstehend Ge- sagten (Erw. IV/2d) nicht ausmachen. Das FZA lässt Einschränkungen der Per- sonenfreizügigkeit, mit denen einer Gefährdung der öffentlichen Sicherheit und Ordnung begegnet werden soll, ausdrücklich zu, und das materielle Strafrecht dient insbesondere bei Straftaten von einer gewissen Schwere nicht zuletzt genau diesem Zweck. bb) Bei der "öffentlichen Sicherheit und Ordnung" handelt es sich um einen unbestimmten Rechtsbegriff, welcher der Konkretisierung und Auslegung bedarf. Weder das Landesrecht noch das gemäss Art. 5 Abs. 4 BV zu beachtende Staatsvertragsrecht definieren eine klare Grenzlinie, ab welcher eine Gefährdung</w:t>
      </w:r>
    </w:p>
    <w:p>
      <w:r>
        <w:t>- 16 - von Sicherheit und Ordnung zu bejahen ist. Wie vorstehend erörtert wurde, ten- diert allerdings der EuGH zu einer engen Auslegung (Erw. IV/2c), was insbeson- dere im Bereich der obligatorischen Landesverweisung zu einem Konflikt zwi- schen FZA und Strafgesetzbuch führen kann (Erw. IV/2d). Die Schweiz muss bei der Auslegung, was unter einer Gefährdung von Sicherheit und Ordnung zu ver- stehen ist, die Rechtsprechung des EuGH "berücksichtigen", zumindest diejenige aus der Zeit vor dem Abschluss des FZA (Art. 16 Abs. 2 FZA). Letzteres bedeutet nach dem allgemeinen Sprachgebrauch, dass sie diese Rechtsprechung als ge- wichtiges Auslegungselement mit in Betracht zieht und davon nicht ohne triftige Gründe abweicht. Eine Pflicht zur strikten Befolgung der EuGH-Praxis ergibt sich aus dem FZA nicht. Der schweizerische Gesetzgeber hat mit dem Erlass der Bestimmungen über die Landesverweisung zum Ausdruck gebracht, dass er bei Delikten gemäss Art. 66a Abs. 1 StGB in aller Regel von einer Gefährdung der öf- fentlichen Sicherheit ausgeht, der mit der Wegweisung des Täters aus der Schweiz zu begegnen ist. Damit liegt ein triftiger Grund vor, in solchen Fällen von einer allfälligen anderen Praxis des EuGH abzuweichen und das FZA landes- rechtskonform anzuwenden. cc) Selbst wenn man davon ausgehen wollte, dass sich aus dem FZA die Verpflichtung ergebe, dieses Abkommen durchwegs gemäss der Rechtsprechung des EuGH auszulegen, stellte sich noch immer die Frage, ob nicht im Falle eines Konflikts zwischen FZA und Strafgesetzbuch aufgrund der Schubert-Praxis gleichwohl letzteres den Vorrang habe. Die Schweiz hat unzählige Staatsverträge abgeschlossen, darunter auch zahlreiche Abkommen mit der EU. Weshalb von all diesen Verträgen gerade dem FZA eine mit den Abkommen über Menschenrech- te vergleichbare erhöhte Bedeutung zukommen soll, welche sowohl eine eigen- ständige Auslegung des FZA als auch die Anwendung der Schubert-Praxis aus- schliesst, ist nicht ersichtlich. Die diesbezügliche Argumentation in BGE 142 II 35 vermag nicht zu überzeugen. Die sektorielle Beteiligung der Schweiz am EU- Binnenmarkt, die dabei an erster Stelle genannt wurde, mag handelspolitisch von Bedeutung sein, ist aber im Gegensatz zur Garantie der Menschenrechte kein tragender Pfeiler von Demokratie und Rechtsstaat. Bekannt ist, dass die EU ih- rerseits dieser Freizügigkeit eine besondere Bedeutung zumisst und deshalb da-</w:t>
      </w:r>
    </w:p>
    <w:p>
      <w:r>
        <w:t>- 17 - rauf drängt, dass Staaten, die Zugang zu ihrem Binnenmarkt wollen, auch dieses Prinzip anerkennen. Die Schweiz hat sich im Rahmen der "Bilateralen Verträge I" dazu verpflichtet. Die Wegweisung straffällig gewordener Ausländer aus Gründen der öffentlichen Sicherheit und Ordnung tangiert indessen den Kerngehalt der Freizügigkeit in keiner Weise und wird vom FZA sogar ausdrücklich zugelassen (Art. 5 Anhang I FZA). Sie betrifft zudem nur einen ganz geringen Teil der aus EU-Staaten zugewanderten Personen und hat mit dem Handel zwischen den FZA-Vertragsstaaten sachlich nichts zu tun. Das Funktionieren des Binnenmarkts hängt offensichtlich nicht davon ab, dass der Begriff der "öffentlichen Sicherheit und Ordnung" in der EU und in der Schweiz genau gleich verstanden und die Wegweisung ausländischer Straftäter exakt übereinstimmend gehandhabt wird. Die sektorielle Beteiligung der Schweiz am EU-Binnenmarkt spricht deshalb nicht dagegen, im Falle eines Konflikts zwischen FZA und Strafgesetzbuch entspre- chend der Schubert-Praxis letzteres anzuwenden. dd) Zutreffend ist, dass die Personenfreizügigkeit am 21. Mai 2000 in einer eidgenössischen Volksabstimmung von Volk und Ständen gutgeheissen wurde und insofern in einem besonderen Masse demokratisch legitimiert ist. Dies gilt aber auch für die zwischenzeitlich erlassenen Bestimmungen über die Landes- verweisung straffällig gewordener Ausländer. Volk und Stände ergänzten in der Volksabstimmung vom 28. November 2010 die Bundesverfassung dahingehend, dass Ausländer, welche gewisse Delikte begehen, jegliches Aufenthaltsrecht in der Schweiz verlieren. Das Parlament beschloss in der Folge eine entsprechende Ergänzung des Strafgesetzbuchs, wobei einerseits der Katalog der Straftaten, die zur Landesverweisung führen, ergänzt und präzisiert, anderseits aber auch – ent- gegen dem erwähnten Volksentscheid – eine Ausnahmeklausel für Härtefälle ein- gefügt wurde. Letztere wurde vom Verfassungsgeber nachträglich sanktioniert, indem Volk und Stände am 28. Februar 2016 eine dagegen gerichtete Volksinitia- tive ablehnten. Volk und Parlament haben damit im Bereich der Landesverwei- sung ausländischer Straftäter einen klaren Entscheid gefällt, dem im Falle eines Konflikts mit älterem Staatsvertragsrecht im Sinne der Schubert-Praxis Nachach- tung zu verschaffen ist.</w:t>
      </w:r>
    </w:p>
    <w:p>
      <w:r>
        <w:t>- 18 - ee) Fehl geht sodann die Argumentation, dass damit den in der Schweiz le- benden Bürgern von EU-Mitgliedsstaaten der vom FZA garantierte gerichtliche Rechtsschutz entzogen werde. Wenn die schweizerische Gerichtspraxis bei der Auslegung des Begriffs der öffentlichen Sicherheit und Ordnung auf die entspre- chenden Bestimmungen des Schweizerischen Strafgesetzbuchs abstellt, schmä- lert dies die Möglichkeiten der betroffenen Straftäter, sich vor Gericht gegen die Anordnung einer Landesverweisung zu wehren, in keiner Weise. Es stehen dazu weiterhin zwei kantonale Gerichtsinstanzen mit voller Kognition, die bundesrecht- liche Beschwerde in Strafsachen und schliesslich auch noch die Überprüfung der letztinstanzlichen Entscheide auf EMRK-Konformität vor dem Menschenrechts- Gerichtshof in Strassburg zur Verfügung. Einen weitergehenden Rechtsschutz – etwa in Form einer Weiterzugsmöglichkeit an den EuGH – gewährt auch das FZA nicht. Ebenso wenig bildet das Argument, dass die EU-Mitgliedstaaten ihrerseits bei der Auslegung des FZA der Rechtsprechung des EuGH unterworfen seien, einen Grund, dieser gegenüber den Bestimmungen der Bundesverfassung und des Strafgesetzbuchs über die Landesverweisung den Vorrang zu geben. Die Verpflichtung der EU-Staaten, EU-Vorschriften zu befolgen und den EuGH als Oberinstanz anzuerkennen, ergibt sich aus ihrer Mitgliedschaft bei der EU. Die Schweiz hingegen ist nicht Mitglied der EU und hat im Bereich der Personenfrei- zügigkeit gegenüber den EU-Staaten und deren Bürgern keine weitergehenden Pflichten als diejenigen, die sich aus dem FZA ergeben. Dieses schreibt aber, wie bereits dargelegt wurde, nur die Berücksichtigung, nicht aber die strikte Befolgung der EuGH-Gerichtspraxis vor, und darf im Übrigen aufgrund der Schubert-Praxis nicht entgegen den Bestimmungen des Strafgesetzbuches über die Landesver- weisung angewendet werden. 4. Selbst wenn man aber – der Argumentation in BGE 142 II 35 folgend – das FZA gegenüber dem Schweizerischen Strafgesetzbuch als vorrangig betrach- ten wollte, führte dies im vorliegenden Fall zu keinem anderen Resultat. Der Han- del mit einer grösseren, die Schwelle zum "schweren Fall" im Sinne von Art. 19 Abs. 2 lit. a BetmG deutlich überschreitenden Menge von Kokain ist eine schwer- wiegende, mit mindestens einem Jahr Freiheitsstrafe zu sanktionierende Straftat. Vorliegend wird der Beschuldigte zu 21 Monaten Freiheitsstrafe verurteilt. Bei</w:t>
      </w:r>
    </w:p>
    <w:p>
      <w:r>
        <w:t>- 19 - Personen, die ein solches Delikt begangen haben, bedarf es wegen dessen Schwere zur Begründung einer Fernhaltemassnahme keiner hohen Rückfallwahr- scheinlichkeit. Vielmehr drängt sich eine Landesverweisung unter solchen Um- ständen unabhängig davon auf, dass dem Beschuldigten noch der bedingte Straf- vollzug gewährt werden konnte. Dies gilt umso mehr, als der Beschuldigte seinen Einstieg in den Drogenhandel lapidar damit erklärte, dass er und die beiden Mit- beschuldigten eben ein entsprechendes "Angebot" erhalten hätten, auf das sie "von heute auf morgen" eingegangen seien (Urk. 2/3 S. 5). Bei dieser Sachlage liegt die Befürchtung nahe, dass der Beschuldigte bei einem erneuten Aufenthalt in der Schweiz wiederum in eine solche Situation geraten und der Versuchung des schnell, aber eben auf deliktische Weise zu erlangenden Geldes erliegen würde. Dieser Gefahr kann nur mit der Fernhaltung des Beschuldigten vom schweizerischen Staatsgebiet wirksam begegnet werden. Die Nachteile, welche daraus für den Beschuldigten resultieren, sind demgegenüber nicht einschnei- dend, hat er doch keinerlei verwandtschaftliche, berufliche oder sonstige Bezie- hung zur Schweiz und steht ihm als Bürger eines EU-Staates weiterhin die Mög- lichkeit offen, in jedes andere europäische Land auszureisen. 5. Die Vorinstanz hat die Dauer der Landesverweisung auf das gesetzliche Minimum von fünf Jahren (Art. 66a Abs. 1 Ingress) beschränkt. Dabei muss es sein Bewenden haben, nachdem die Staatsanwaltschaft diesen Entscheid akzep- tiert hat (Art. 391 Abs. 2 StPO). VI. Ausgangsgemäss sind die Kosten des Berufungsverfahrens mit Ausnahme derjenigen der amtlichen Verteidigung im Betrag von pauschal Fr. 3'000.– inklusi- ve Mehrwertsteuer (vgl. Urk. 42), die einstweilen von der Gerichtskasse zu tragen sind (Art. 135 Abs. 1 und 4 StPO), dem Beschuldigten aufzuerlegen (Art. 428 Abs. 1 StPO).</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