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SB180062 vom 21. August 2018</w:t>
      </w:r>
    </w:p>
    <w:p>
      <w:r>
        <w:t>ZH Obergericht, 2018-08-21, DE</w:t>
      </w:r>
    </w:p>
    <w:p>
      <w:r>
        <w:rPr>
          <w:b/>
        </w:rPr>
        <w:t xml:space="preserve">Quelle: </w:t>
      </w:r>
      <w:r>
        <w:t>https://mcp.opencaselaw.ch/entscheid/zh_obergericht_SB180062</w:t>
      </w:r>
    </w:p>
    <w:p>
      <w:r>
        <w:t>FR: ZH_OBERGERICHT SB180062 du 21 août 2018</w:t>
      </w:r>
    </w:p>
    <w:p>
      <w:r>
        <w:t>IT: ZH_OBERGERICHT SB180062 del 21 agosto 2018</w:t>
      </w:r>
    </w:p>
    <w:p>
      <w:pPr>
        <w:pStyle w:val="Heading2"/>
      </w:pPr>
      <w:r>
        <w:t>Erwägungen</w:t>
      </w:r>
    </w:p>
    <w:p>
      <w:r>
        <w:rPr>
          <w:b/>
        </w:rPr>
        <w:t>E. 23</w:t>
      </w:r>
    </w:p>
    <w:p>
      <w:r>
        <w:t>April 2015 verhängten bedingten Geldstrafe eher hinderlich wäre. Der Be- schuldigte ist hoch verschuldet (vgl. Urk. 20/5-8) und könnte die Geldstrafe nicht bezahlen. Folglich ist die heute auszusprechende Freiheitsstrafe von 18 Monaten zu vollzie- hen. Die Vorinstanz geht zu Recht davon aus, dass sich mit dem Vollzug der Freiheitsstrafe die Legalprognose hinsichtlich der bedingten Geldstrafe verbes- sert, weshalb diese nicht zu widerrufen, sondern die Probezeit um 1 ½ Jahre zu verlängern ist (Urk. 48 S. 40). VII. Das Gericht kann ausnahmsweise von einer Landesverweisung gemäss Art. 66a StGB absehen, wenn diese für den Ausländer einen schweren persönlichen Här- 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Der Gesetzgeber hat mit seiner Formulierung klar zum Ausdruck gebracht, dass bei Vorliegen einer Anlasstat im Sinne von Art. 66a Abs. 1 StGB in der Regel eine Landesverweisung zu verhängen ist. Erst wenn feststeht, dass die Landesverwei- sung einen schweren persönlichen Härtefall bewirken würde, ist in einem zweiten</w:t>
      </w:r>
    </w:p>
    <w:p>
      <w:r>
        <w:t>- 21 - Schritt das private Interesse an einem Verbleib in der Schweiz dem öffentlichen Interesse an einem Verlassen der Schweiz gegenüberzustellen. Resultiert daraus ein überwiegendes öffentliches Interesse, muss die Landesverweisung verhängt werden. Von einer Landesverweisung darf also nur abgesehen werden, wenn das öffentlichen Interesse kleiner oder gleich gross ist wie das private Interesse (BUSSLINGER/UEBERSAX, Härtefallklausel, Plädoyer 5/16, S. 102). Die Vorinstanz hat sich ausführlich mit der Frage des schweren persönlichen Här- tefalls auseinandergesetzt und ist in einer Gesamtbetrachtung unter Berücksichti- gung der entscheidenden Faktoren zutreffend zum Schluss gelangt, dass ein sol- cher beim Beschuldigten gerade noch als gegeben erachtet werden kann (indes- sen kein besonders schwerer Fall vorliege, Urk. 48 S. 43 ff.). Bei der Aufenthalts- dauer hat sie beachtet, dass der Beschuldigte 2004 bereits im Alter von neun Jah- ren in die Schweiz kam und zu einem wesentlichen Teil hier aufgewachsen ist. Im Rahmen der familiären Verhältnisse hat sie bedeutend gewichtet, dass der Be- schuldigte in der Schweiz einen (heute) vierjährigen Sohn hat und auch seine üb- rige Familie hier lebt (Urk. 48 S. 43 ff.). Die Vorinstanz hat sodann im Rahmen der Interessenabwägung korrekt festge- halten, dass das öffentliche Interesse, den Beschuldigten des Landes zu verwei- sen, angesichts der in diesem Verfahren auszusprechenden Freiheitsstrafe von 1.5 Jahren wegen eines schweren Betäubungsmitteldelikts − auch bei leichtem Verschulden − hoch zu werten sei (vgl. Urk. 48 S. 47). Der Beschuldigte ist zudem wegen Gewaltdelikten vorbestraft, die nicht weit zurück liegen (vgl. Urk. 68). Sei- ne Chancen auf Bewährung hat er bisher nicht wahrgenommen, obwohl ihm der Ernst der Lage angesichts der früheren Verurteilungen bewusst sein musste. So- wohl bezüglich Gewalt- als auch Betäubungsmitteldelikte besteht deshalb weiter- hin eine gewisse Rückfallgefahr, auch wenn er seit der Haftentlassung im Juni 2017 keine Straftaten mehr begangen hat. Der Beschuldigte geht erst seit Kurzem einer regelmässigen Arbeit nach. Er ab- solviert derzeit die Lehre zum Detailhandelsfachmann (Lehrbeginn 13. August 2018, seit dem 22. Mai 2018 im Praktikum, Prot. II S. 12 f.). Bisherige Lehrstellen</w:t>
      </w:r>
    </w:p>
    <w:p>
      <w:r>
        <w:t>- 22 - resp. Ausbildungen hat er nicht zu Ende geführt oder ihm wurde gekündigt (vgl. auch Prot. II S. 8). Eigenen Angaben zufolge hat er zuvor regelmässig Drogen konsumiert (Kokain ["recht viel, muss ich sagen"] und Cannabis, Urk. 20/11 S. 4; Prot. II S. 11 f.), macht jedoch geltend, heute ohne Drogen zu leben (Prot. II S. 11). Gegen den Beschuldigten laufen zahlreiche Betreibungen und er hat kein Vermögen (Prot. II S. 11); auch in naher Zukunft wird er in knappen finanziellen Verhältnissen leben (Lehrlingslohn zzgl. allfällige Stipendien). Bis vor Kurzem ge- lang es dem Beschuldigten nicht, ein Leben ohne Delikte und Drogen zu führen. Auch nicht, als er 2014 erstmals Vater wurde, was von ihm fortan ein äusserst verantwortungsvolles Verhalten verlangt hätte. Erst die drohende Landesverwei- sung hat bei ihm offensichtlich ein Umdenken bewirkt. Diese Einsicht kommt spät. Vor der Verhaftung sei ihm nicht bewusst gewesen, dass er wegen der neuen De- likte nun des Landes verwiesen werden könnte (Prot. II S. 12). Auch diese Fakto- ren sprechen letztlich gegen den Verbleib des Beschuldigten im Lande. Demgegenüber sind die privaten Interessen des Beschuldigte zu beachten. Er hat einen Teil seiner Kindheit in der Schweiz verbracht und ist hier aufgewachsen. Die Familienverhältnisse bezeichnete er selbst als gut bis sehr gut. Sowohl seine getrennten Eltern als auch seine insgesamt acht Halbgeschwister leben in Zürich (Urk. 20/11 S. 2). Trotz Schwierigkeiten im familiären Umfeld (u.a. strafrechtliche Verurteilungen der Mutter) ist von einer intakten Familienzusammengehörigkeit auszugehen. Der Beschuldigte wohnt heute bei seiner Tante. Sie stellt ihm Kost und Logis gratis zur Verfügung. Bei seiner Mutter habe es derzeit keinen Platz für ihn. Seine ganze Familie unterstütze ihn heute, weil er jetzt das Richtige mache (Prot. II S. 10 und 16). Der Beschuldigte hat zu seinem heute vierjährigen Sohn guten Kontakt und gibt an, ihn jedes zweite Wochenende zu sehen. Er wohne in … [Ortschaft] bei der Mutter. Zu dieser habe er ein gutes Verhältnis (Prot. II. S. 9). Es ist (entgegen der Zweifel der Vorinstanz, Urk. 48 S. 44) von ernsthaften Bemühungen des Beschul- digten auszugehen, (zumindest aktuell) für seinen Sohn da sein und für ihn sor- gen zu wollen (vgl. auch Prot. II S. 6). Allerdings hat der Beschuldigte auch nach der Geburt seines Sohnes weiterhin Drogen konsumiert und Straftaten begangen.</w:t>
      </w:r>
    </w:p>
    <w:p>
      <w:r>
        <w:t>- 23 - Als Erziehungsperson gibt er damit kein gutes Vorbild ab. Trotzdem besteht ein schützenswertes Interesse seines Sohnes, zu seinem Vater regelmässigen Kon- takt zu haben. Zu erwähnen ist des Weiteren, dass der Beschuldigte in der Schweiz bei seiner Mutter und seinem Stiefvater aufgewachsen ist. Der Stiefvater lebt heute wieder in der Dominikanischen Republik. Gemäss Angaben des Beschuldigten sei das Verhältnis zum Stiefvater gut gewesen, so lange er mit der Mutter zusammen ge- wesen sei. Heute habe er aber keinen Kontakt mehr zu ihm (Prot. II. S. 6). Trotz harter persönlicher Folgen für den Beschuldigten überwiegen die öffentli- chen Interessen, ihn des Landes zu verweisen; er hat wiederholt schwere Strafta- ten begangen und es besteht weiterhin das Risiko, dass er dies erneut tun wird. Für den Beschuldigten ist ein Leben in der Dominikanischen Republik zumutbar; er spricht fliessend Spanisch, hat dort seinen Steifvater und war während der Schulzeit regelmässig dort. Der Beschuldigte ist folglich des Landes zu verweisen. Die minimale Dauer der Verweisung von 5 Jahren ist angesichts des leichten Verschuldens angemessen (Urk. 48 S. 49). Landesverweisungen gegenüber Ausländern aus Staaten, die nicht zum Schen- gen-Raum gehören, werden im Schengen-Informationssystem ausgeschrieben, wenn davon auszugehen ist, dass die Anwesenheit der betreffenden Person im Hoheitsgebiet eines Mitgliedstaates die öffentliche Sicherheit und Ordnung ge- fährdet. Dies ist insbesondere der Fall, wenn der Drittstaatsangehörige wegen ei- ner Straftat verurteilt worden ist, die mit mindestens einem Jahr Freiheitsstrafe bedroht ist (Art. 24 Abs. 2 SIS-II-VO, vgl. Art. 96 Abs. 2 lit. a Schengener Durch- führungsübereinkommen SDÜ), es sei denn, ein anderer Schengen-Vertragsstaat hätte dieser Person eine Aufenthaltsbewilligung erteilt oder zugesichert (Art. 25 SDÜ; vgl. zum Ganzen BVGer. C-4656/2012 vom 24. September 2012, Erw. 5). Letzteres ist beim Beschuldigten nicht der Fall. Die von ihm begangene qualifizier- te Widerhandlung gegen das Betäubungsmittelgesetz ist geeignet, die Gesund- heit vieler Menschen zu gefährden, und gilt damit als schwerwiegend. Art. 19</w:t>
      </w:r>
    </w:p>
    <w:p>
      <w:r>
        <w:t>- 24 - Abs. 2 BetmG sieht eine Freiheitsstrafe nicht unter einem Jahr vor; die gegen den Beschuldigten tatsächlich verhängte Strafe beträgt 18 Monate. Die Landesverwei- sung gegen den Beschuldigten ist folglich im Schengen-Informationssystem aus- zuschreiben. VIII. Bezüglich der Beschlagnahmungen kann weitgehend auf den Entscheid der Vor- instanz verwiesen werden (Urk. 48 S. 51). Lediglich das beschlagnahmte Smart- phone Samsung (Asservaten Nr. A010'171'525) ist nicht einzuziehen, denn ein deliktischer Zusammenhang ist nicht ausreichend belegt. Vielmehr ist es wie das Smartphone Apple IPhone zu verwerten und der Erlös zur teilweisen Deckung der Verfahrenskosten zu verwenden. IX. Ausgangsgemäss ist die Regelung der Kostenfolgen durch die Vorinstanz zu be- stätigen (Dispositiv Ziff. 9 und 10). Die Kosten im Rechtsmittelverfahren tragen die Parteien nach Massgabe ihres Obsiegens oder Unterliegens (Art. 428 Abs. 1 StPO). Da der Beschuldigte mit seiner Berufung unterliegt, sind ihm die Kosten des Berufungsverfahrens (mit Ausnahme der Kosten der amtlichen Verteidigung) aufzuerlegen. Der Beschuldigte ist praktisch mittellos, denn er hat weiterhin hohe Schulden und lediglich ein geringes Einkommen. Nach Verbüssung der Haftstrafe wird er zudem fünf Jahre im Ausland verbringen müssen. Folglich sind ihm die Kosten zu erlas- sen, soweit sie nicht durch die beschlagnahmte Barschaft und die Verwertungser- löse gedeckt werden. Die Kosten der amtlichen Verteidigung sind definitiv auf die Gerichtskasse zu nehmen.</w:t>
      </w:r>
    </w:p>
    <w:p>
      <w:r>
        <w:t>- 25 - Es wird erkannt: 1. Der Beschuldigte A._____ ist schuldig - des Verbrechens im Sinne von Art. 19 Abs. 1 lit. d in Verbindung mit Art. 19 Abs. 2 lit. a BetmG sowie - des mehrfachen Vergehens im Sinne von Art. 19 Abs. 1 lit. c BetmG. 2. Der Beschuldigte wird bestraft mit 18 Monaten Freiheitsstrafe, wovon 126 Tage durch Haft erstanden sind. Die Freiheitsstrafe wird vollzogen. 3. Die mit Strafbefehl der Staatsanwaltschaft Zürich-Sihl vom 23. April 2015 angesetzte Probezeit wird um 1 ½ Jahre verlängert. 4. Der Beschuldigte wird in Anwendung von Art. 66a Abs. 1 lit. o StGB für die Dauer von 5 Jahren des Landes verwiesen. 5. Es wird die Ausschreibung der Landesverweisung (Einreise- und Aufent- haltsverweigerung) im Schengener Informationssystem (SIS) angeordnet. 6. a) Die mit Verfügung der Staatsanwaltschaft Zürich-Limmat vom 9. März 2017 beschlagnahmte Barschaft von Fr. 230.-- wird zur teilweisen Deckung der Verfahrenskosten verwendet. b) Die mit Verfügung der Staatsanwaltschaft Zürich-Limmat vom 9. März 2017 beschlagnahmten Smartphones Apple iPhone (A010'171'536) und Samsung (A010'171'525) werden verwertet und der Erlös zur teilweisen De- ckung der Verfahrenskosten verwendet. c) Die mit Verfügung der Staatsanwaltschaft Zürich-Limmat vom 9. März 2017 beschlagnahmten Portionen Kokain (Asservaten Nr. A010'171'514, Lager Nr. 1) und Marihuana (Asservaten Nr. A010'172'164, Lager Nr. 2) werden eingezogen und vernichtet.</w:t>
      </w:r>
    </w:p>
    <w:p>
      <w:r>
        <w:t>- 26 - 7. Die erstinstanzliche Kostenregelung (Ziff. 9 und 10) wird bestätigt. 8. Die zweitinstanzliche Gerichtsgebühr wird festgesetzt auf: Fr. 3'000.-- und die weiteren Kosten betragen: Fr. 13'700.-- für die amtliche Verteidigung 9. Die Kosten des Berufungsverfahrens, mit Ausnahme der Kosten der amtli- chen Verteidigung, werden dem Beschuldigten auferlegt, ihm jedoch erlas- sen (soweit nicht gemäss Ziff. 6 gedeckt). Die Kosten der amtlichen Vertei- digung werden definitiv auf die Gerichtskasse genommen. 10. Schriftliche Mitteilung im Dispositiv an - die amtliche Verteidigung im Doppel für sich und zuhanden des Beschuldigten (versandt, vorab per Fax) - die Staatsanwaltschaft Zürich-Limmat (versandt, vorab per Fax) - das Migrationsamt des Kantons Zürich (versandt, vorab per Fax) sowie in vollständiger Ausfertigung an - die amtliche Verteidigung im Doppel für sich und zuhanden des Beschuldigten - die Staatsanwaltschaft Zürich-Limmat - das Bundesamt für Polizei und nach unbenütztem Ablauf der Rechtsmittelfrist bzw. Erledigung allfälli- ger Rechtsmittel an - die Vorinstanz - den Justizvollzug des Kantons Zürich, Abteilung Bewährungs- und Vollzugsdienste - das Migrationsamt des Kantons Zürich - die KOST Zürich mit dem Formular "Löschung des DNA-Profils und Vernichtung des ED-Materials" zwecks Bestimmung der Vernichtungs- und Löschungsdaten - die Koordinationsstelle VOSTRA mit Formular A und B - das Forensische Institut Zürich betr. Referenznummer … mit dem Hinweis, dass das gesicherte Spurenmaterial vernichtet bzw. ge- löscht werden kann - die Kasse des Bezirksgerichts Zürich</w:t>
      </w:r>
    </w:p>
    <w:p>
      <w:r>
        <w:t>- 27 - - die Stadtpolizei Zürich 11.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21. August 2018 Der Präsident: Die Gerichtsschreiberin: Oberrichter Dr. Bussmann lic. iur. Linder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