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SB180053 vom 21. Juni 2018</w:t>
      </w:r>
    </w:p>
    <w:p>
      <w:r>
        <w:t>ZH Obergericht, 2018-06-21, DE</w:t>
      </w:r>
    </w:p>
    <w:p>
      <w:r>
        <w:rPr>
          <w:b/>
        </w:rPr>
        <w:t xml:space="preserve">Quelle: </w:t>
      </w:r>
      <w:r>
        <w:t>https://mcp.opencaselaw.ch/entscheid/zh_obergericht_SB180053</w:t>
      </w:r>
    </w:p>
    <w:p>
      <w:r>
        <w:t>FR: ZH_OBERGERICHT SB180053 du 21 juin 2018</w:t>
      </w:r>
    </w:p>
    <w:p>
      <w:r>
        <w:t>IT: ZH_OBERGERICHT SB180053 del 21 giugno 2018</w:t>
      </w:r>
    </w:p>
    <w:p>
      <w:pPr>
        <w:pStyle w:val="Heading2"/>
      </w:pPr>
      <w:r>
        <w:t>Erwägungen</w:t>
      </w:r>
    </w:p>
    <w:p>
      <w:r>
        <w:rPr>
          <w:b/>
        </w:rPr>
        <w:t>E. 1</w:t>
      </w:r>
    </w:p>
    <w:p>
      <w:r>
        <w:t>Verfahrensgang</w:t>
      </w:r>
    </w:p>
    <w:p>
      <w:r>
        <w:rPr>
          <w:b/>
        </w:rPr>
        <w:t>E. 1.1</w:t>
      </w:r>
    </w:p>
    <w:p>
      <w:r>
        <w:t>Zum Verfahrensgang bis zum vorinstanzlichen Urteil kann zwecks Vermei- dung von unnötigen Wiederholungen auf die Erwägungen der Vorinstanz im an- gefochtenen Entscheid verwiesen werden (Urk. 53 S. 5).</w:t>
      </w:r>
    </w:p>
    <w:p>
      <w:r>
        <w:rPr>
          <w:b/>
        </w:rPr>
        <w:t>E. 1.2</w:t>
      </w:r>
    </w:p>
    <w:p>
      <w:r>
        <w:t>Gegen das vorstehend wiedergegebene mündlich eröffnete Urteil des Be- zirksgerichts Zürich, 3. Abteilung, vom 26. Oktober 2017 (Prot. I S. 12 ff.) liess der Beschuldigte durch seine amtliche Verteidigung am 30. Oktober 2017 (Datum Poststempel) fristgerecht Berufung anmelden (Urk. 49). Nach Zustellung des be- gründeten Urteils am 30. Januar 2018 (Urk. 52/2) reichte die Verteidigung mit Eingabe vom 19. Februar 2018 (Urk. 55) – ebenfalls fristgerecht – dem Oberge- richt die Berufungserklärung ein. Mit Präsidialverfügung vom 21. Februar 2018 wurde die Berufungserklärung in Anwendung von Art. 400 Abs. 2 und 3 StPO der</w:t>
      </w:r>
    </w:p>
    <w:p>
      <w:r>
        <w:t>- 5 - Staatsanwaltschaft zugestellt, um gegebenenfalls Anschlussberufung zu erheben oder ein Nichteintreten auf die Berufung zu beantragen (Urk. 58). Innert Frist er- hob die Staatsanwaltschaft Anschlussberufung (Urk. 60).</w:t>
      </w:r>
    </w:p>
    <w:p>
      <w:r>
        <w:rPr>
          <w:b/>
        </w:rPr>
        <w:t>E. 1.3</w:t>
      </w:r>
    </w:p>
    <w:p>
      <w:r>
        <w:t>Zur heutigen Berufungsverhandlung erschienen der Beschuldigte in Be- gleitung seiner amtlichen Verteidigerin sowie Staatsanwalt lic. iur. T. Moder als Vertreter der Anklagebehörde. Vorfragen waren keine zu entscheiden und – ab- gesehen von der Einvernahme des Beschuldigten (Urk. 67) – auch keine Beweise abzunehmen (Prot. II S. 6). Das Urteil erging im Anschluss an die Berufungsver- handlung (Prot. II S. 10 ff.).</w:t>
      </w:r>
    </w:p>
    <w:p>
      <w:r>
        <w:rPr>
          <w:b/>
        </w:rPr>
        <w:t>E. 2</w:t>
      </w:r>
    </w:p>
    <w:p>
      <w:r>
        <w:t>Umfang der Berufung</w:t>
      </w:r>
    </w:p>
    <w:p>
      <w:r>
        <w:rPr>
          <w:b/>
        </w:rPr>
        <w:t>E. 2.1</w:t>
      </w:r>
    </w:p>
    <w:p>
      <w:r>
        <w:t>Nach dem StGB wird beurteilt, wer nach dessen Inkrafttreten ein Verbre- chen oder Vergehen begeht (Art. 2 Abs. 1 StGB). Hat der Täter ein Verbrechen oder Vergehen vor Inkrafttreten dieses Gesetzes begangen, erfolgt die Beurtei- lung aber erst nachher, so ist das neue Recht anzuwenden, wenn es für ihn das mildere ist (Art. 2 Abs. 2 StGB; Grundsatz der lex mitior). Gemäss erstelltem Sachverhalt ist der Beschuldigte im Zeitraum vom 1. Januar 2015 und 29. Januar 2017 dem Betäubungsmittelhandel nachgegangen. Art. 66a StGB, welcher die vorliegend in Frage stehende obligatorische Landesverweisung regelt, ist auf den 1. Oktober 2016 in Kraft getreten. Weder aus dem Anklage- sachverhalt noch aus den übrigen Akten ergibt sich, dass der Beschuldigte seit Inkrafttreten dieser Bestimmung bis zum 29. Januar 2017 eine Katalogtat began- gen hätte, so insbesondere für diesen Zeitraum auch kein schwerer Fall von Be- täubungsmittelhandel gegeben wäre. Aus dem Gesagten erhellt, dass gegenüber dem Beschuldigten keine obligatorische Landesverweisung gemäss Strafgesetz- buch auszusprechen ist.</w:t>
      </w:r>
    </w:p>
    <w:p>
      <w:r>
        <w:rPr>
          <w:b/>
        </w:rPr>
        <w:t>E. 2.2</w:t>
      </w:r>
    </w:p>
    <w:p>
      <w:r>
        <w:t>Die Staatsanwaltschaft hielt anlässlich der Berufungsverhandlung dafür, dass eine fakultative Landesverweisung auszusprechen sei, wenn das Gericht keine obligatorische Landesverweisung anordne (Prot. II S. 8). Gemäss Art. 66abis StGB kann das Gericht einen Ausländer für 3-15 Jahre des Landes verweisen, wenn er wegen eines Verbrechens oder Vergehens, das nicht nach Art. 66a StGB erfasst wird, zu einer Strafe verurteilt wird. Die gesetzgebe- rische Wertung, welche in Art. 66a StGB vorgibt, bei welchen Delikten zwingend eine Landesverweisung zu verhängen ist, impliziert, dass bei übrigen Verbrechen und Vergehen eine erhebliche Schwere vorliegen und im Einzelfall die negative Legalprognose aus spezialpräventiver Sicht diese Massnahme indizieren muss (OFK/StGB-HEIMGARTNER, Art. 66abis N 1). Sinn und Zweck dieser Norm ist es mit anderen Worten, dass eine Landesverweisung ausgesprochen werden kann, wenn der Täter ein nicht im Katalog von Art. 66a StGB aufgeführtes Delikt verübt, welches qualitativ aber die Schwere eines solchen erreicht.</w:t>
      </w:r>
    </w:p>
    <w:p>
      <w:r>
        <w:t>- 13 - Diese Schwere wird durch das vom Beschuldigten im Zeitraum vom 1. Oktober 2016 bis zum 29. Januar 2017 verwirklichte Verhalten im vorliegendem Fall aber gerade nicht erreicht. Der Beschuldigte verkaufte Kokain im untersten Gramm- bereich an wenige Konsumenten. Dieses Verhalten rechtfertigt es nicht, eine Landesverweisung nach Art. 66abis StGB auszusprechen. IV. Kosten- und Entschädigungsfolgen 1. Die zweitinstanzliche Gerichtsgebühr fällt ausser Ansatz. 2. Im Berufungsverfahren werden die Kosten nach Obsiegen und Unterliegen auferlegt (Art. 428 Abs. 1 Satz 1 StPO). Ob eine Partei im Rechtsmittelverfahren als obsiegend oder unterliegend gilt, hängt davon ab, in welchem Ausmass ihre vor Beschwerdeinstanz bzw. Berufungsgericht gestellten Anträge gutgeheissen wurden (BSK StPO-DOMEISEN, Art. 428 N 6). Der Beschuldigte obsiegt mit seinem Antrag, es sei von einer Landesverweisung abzusehen, während die Staatsanwaltschaft mit ihren Anträgen (Strafzumessung, Dauer der Landesverweisung) vollständig unterliegt. Die Kosten des Berufungs- verfahrens sind deshalb auf die Gerichtskasse zu nehmen.</w:t>
      </w:r>
    </w:p>
    <w:p>
      <w:r>
        <w:rPr>
          <w:b/>
        </w:rPr>
        <w:t>E. 3</w:t>
      </w:r>
    </w:p>
    <w:p>
      <w:r>
        <w:t>[…]. Die Busse ist zu bezahlen.</w:t>
      </w:r>
    </w:p>
    <w:p>
      <w:r>
        <w:rPr>
          <w:b/>
        </w:rPr>
        <w:t>E. 3.1</w:t>
      </w:r>
    </w:p>
    <w:p>
      <w:r>
        <w:t>Die Staatsanwaltschaft bringt vor, das Verschulden des Beschuldigten sei als nicht mehr leicht einzustufen. So habe der Beschuldigte über einen längeren Zeitraum und vor allem aus rein monetären Überlegungen heraus gehandelt. Bei ihm könne auch nicht von einem Drogenkonsumenten gesprochen werden, wel- cher zur Finanzierung seiner eigenen Sucht auf den Handel mit Kokain ange- wiesen gewesen wäre. Besonders verwerflich sei, dass er auch weitere Personen (B._____) in seine Geschäfte einbezogen habe und diese dadurch auch der Strafverfolgung ausgesetzt habe. So sei bei ihm von einem geradezu skrupello- sen Verhalten zu sprechen, das sich durch seinen gelegentlichen Eigenkonsum nicht entschuldigen lasse. Sein Handeln sei rein egoistisch, ohne sich auch nur ansatzweise in einer Notlage zu befinden und lasse sich durch nichts entschuldi- gen. Nur weil die Ehefrau an Krebs sterbe, werde man nicht zum Drogenhändler (Urk. 60 S. 2; Urk. 71 S. 2; Prot. II S. 8).</w:t>
      </w:r>
    </w:p>
    <w:p>
      <w:r>
        <w:rPr>
          <w:b/>
        </w:rPr>
        <w:t>E. 3.2</w:t>
      </w:r>
    </w:p>
    <w:p>
      <w:r>
        <w:t>Die Verteidigung führte vor der Vorinstanz und anlässlich der heutigen Be- rufungsverhandlung aus, der Beschuldigte habe rund 74,5 (recte 72,5) Gramm Kokain verkauft. Damit habe er den Grenzwert, um einen schweren Fall im Sinne von Art. 19 Abs. 2 BetmG zu begründen zwar um rund vier Mal überschritten. Da- bei sei aber zu berücksichtigen, dass der Beschuldigte diese Verkäufe nicht in ei- nem kurzen Zeitraum, sondern über zwei Jahre hinweg getätigt habe. Für das Verschulden des Beschuldigten sei weiter relevant, dass er nicht sehr professio- nell vorgegangen sei und den Handel nicht im grossen Stil betrieben habe. Er sei ausserdem auf der unteren Hirarchiestufe anzusiedeln. Er habe vorsätzlich ge- handelt, dies aber insbesondere um seine eigene Sucht zu finanzieren. In diese sei er geraten, als seine Frau erkrankt sei. Die Krankheit und der Tod seiner Frau hätten den Beschuldigten aus der Bahn geworfen. Das Verschulden sei als nicht allzu schwer einzustufen, weshalb eine hypothetische Einsatzstrafe von 20 Monaten angemessen erscheine (Urk. 42 S. 2 f.; Urk. 69 S. 1).</w:t>
      </w:r>
    </w:p>
    <w:p>
      <w:r>
        <w:t>- 8 -</w:t>
      </w:r>
    </w:p>
    <w:p>
      <w:r>
        <w:rPr>
          <w:b/>
        </w:rPr>
        <w:t>E. 3.3</w:t>
      </w:r>
    </w:p>
    <w:p>
      <w:r>
        <w:t>Zusammengefasst hat die Vorinstanz erwogen, dass der Beschuldigte während rund zwei Jahren 72 Gramm reines Kokainhydrochlorid an zwei regel- mässige Abnehmer zu einem Preis von Fr. 100.– pro Gramm verkauft habe. Wei- ter habe er einer weiteren Person rund 0.5 Gramm reines Kokainhydrochlorid zu einem Preis von Fr. 50.– verkauft. In der Wohnung hätten weiter insgesamt 2,05 Gramm reines Kokainhydrochlorid sichergestellt werden können, welches teilweise für den eigenen Konsum, teilweise für den Weiterverkauf bestimmt ge- wesen sei. Die vom Beschuldigten gehandelte Totalmenge übersteige die Grenzmenge zum qualifizierten Delikt nach Art. 19 Abs. 2 BetmG um das Vier- fache und wiege damit erschwerend. Die Deliktsdauer wertete die Vorinstanz ent- gegen dem Vorbringen der Verteidigung nicht als verschuldensmindernd, sondern als erschwerend. Die Dauer zeuge von einem langanhaltenden bzw. wiederholt erneuerten Vorsatz des Beschuldigten. Der Beschuldigte habe ferner einen nicht unbeachtlichen Gewinn in der Höhe von Fr. 10'100.– aus seinen Verkäufen er- zielt. Erschwerend bewertete die Vorinstanz sodann den Umstand, dass Streck- mittel und andere für die Verarbeitung von Betäubungsmitteln typischerweise be- nötigte Utensilien im Besitz des Beschuldigten sichergestellt hätten werden kön- nen. Daraus sei zu schliessen, dass der Beschuldigte das selbst eingekaufte Ko- kaingemisch nicht nur direkt weiterverkauft habe, sondern dieses in einem Zwi- schenschritt eigenhändig bearbeitet bzw. gestreckt habe. Er sei in diesem Sinne selbständig gewesen. Dadurch sei er nicht in der tiefsten, aber doch noch in einer eher unteren Hierarchiestufe des Betäubungsmittelhandels anzusiedeln. Anderer- seits sei zu berücksichtigen, dass der Beschuldigte nie mit grossen Mengen auf einmal gehandelt habe. Auch habe er nur wenige Abnehmer gehabt und sei sel- ber Konsument gewesen. Betreffend die subjektive Tatschwere sei leicht mindernd zu berücksichtigen, dass der Beschuldigte selbst süchtig gewesen sei. Sodann hielt die Vorinstanz nach der Gegenüberstellung der Einnahmen und Ausgaben des Beschuldigten fest, dass dem Beschuldigten genügend finanzielle Mittel für den Kauf von Betäu- bungsmitteln zur Verfügung gestanden seien. Er sei daher nicht auf den Handel angewiesen gewesen, um seine Sucht zu finanzieren, sondern er habe aus rein monetären Gründen gehandelt. Es sei von einer Tatschwere im unteren Bereich</w:t>
      </w:r>
    </w:p>
    <w:p>
      <w:r>
        <w:t>- 9 - auszugehen, wobei sich eine hypothetische Einsatzstrafe von 20 Monaten ergebe (Urk. 53 S. 8 ff.).</w:t>
      </w:r>
    </w:p>
    <w:p>
      <w:r>
        <w:rPr>
          <w:b/>
        </w:rPr>
        <w:t>E. 3.4</w:t>
      </w:r>
    </w:p>
    <w:p>
      <w:r>
        <w:t>Die Drogenmenge ist in der Regel ein wesentliches Strafzumessungs- kriterium, weil sie das Gefährdungspotential und damit das Ausmass der Rechts- gutverletzung widerspiegelt. Auch der Gesetzgeber definiert den schweren Fall in Art. 19 Ziff. 2 aBetmG bzw. Art. 19 Abs. 2 BetmG unter anderem anhand der Dro- genmenge. In der Praxis kommt diesem Kriterium häufig vorrangige oder aus- schlaggebende Bedeutung zu. Die etwas unglückliche, weil zu absolute bundes- gerichtliche Formulierung in BGE 118 IV 342, der Drogenmenge komme keine vorrangige Bedeutung zu ("prépondérant", Urteil des Bundesgerichtes 6B_107/2013 vom 15. Mai 2013 Erw. 2.1.1), wird in der Praxis oft zu wörtlich in- terpretiert bzw. verallgemeinert. Völlig richtig hielt das Bundesgericht nämlich fest, dass die Menge nur ein Gesichtspunkt der Strafzumessung neben andern Fakto- ren darstelle und insofern eine generelle, starre Rangordnung abzulehnen sei (BGE 118 IV 342 Erw. 2c). Das Bundesgericht wollte mit diesem Entscheid vor allem einer sturen Tarifierung nach Menge eine Absage erteilen, aber wohl kaum ausschliessen, dass im Einzelfall der Menge eben doch die ausschlaggebende Bedeutung bei der Strafzumessung zukommen kann. In der Praxis bleibt die Menge denn auch häufig das gewichtigste Kriterium und ist in diesem Sinne oft vorrangig (Duden: u.a. bedeutsam, entscheidend, essentiell, wesentlich). So dürfte es beispielsweise der seltene Ausnahmefall bleiben, dass jemand, der vier Kilogramm reines Kokain erwirbt, milder bestraft wird als jener, der 15 Gramm desselben Stoffes kauft. Dies weil sich die übrigen Verschuldenselemente eben bei einem Vergleich der Fälle oftmals wenig voneinander unterscheiden. Selbst- verständlich kann es im Einzelfall aber vorkommen, dass z.B. die Hierarchiestufe im Drogenhandel oder die kriminelle Energie das Strafmass mehr beeinflussen als die reine Drogenmenge (vgl. dazu auch FINGERHUTH/SCHLEGEL/JUCKER,</w:t>
      </w:r>
    </w:p>
    <w:p>
      <w:r>
        <w:rPr>
          <w:b/>
        </w:rPr>
        <w:t>E. 3.5</w:t>
      </w:r>
    </w:p>
    <w:p>
      <w:r>
        <w:t>Wenn die Vorinstanz eine Einsatzstrafe von 20 Monaten aufgrund der Tat- komponente festsetzt, so erscheint dies dem leichten Verschulden des Be- schuldigten angemessen. Ein Blick auf die Strafmassmodelle von FINGERHUTH/ SCHLEGEL/JUCKER (a.a.O., S. 527 - 549) zeigt, dass diese Einsatzstrafe einem Vergleich zu anderen Urteilen in der Schweiz standhält, zumal sich der Zuschlag</w:t>
      </w:r>
    </w:p>
    <w:p>
      <w:r>
        <w:t>- 11 - (deutlich mehr als 5 Geschäfte) und der Abzug (Drogenabhängigkeit) die Waage halten.</w:t>
      </w:r>
    </w:p>
    <w:p>
      <w:r>
        <w:rPr>
          <w:b/>
        </w:rPr>
        <w:t>E. 3.6</w:t>
      </w:r>
    </w:p>
    <w:p>
      <w:r>
        <w:t>Die persönlichen Verhältnisse des Beschuldigten, insbesondere auch des- sen Vorstrafenlosigkeit, wirken sich strafzumessungsneutral aus. Zuzustimmen ist der Vorinstanz, wenn sie zur Täterkomponente festhält, dass das Geständnis des Beschuldigten entgegen der Verteidigung nicht von Anfang an erfolgt sei, sondern sich der Beschuldigte erst anlässlich der staatsanwaltschaftlichen Konfrontations- einvernahme umfassend geständig zeigte. Die Untersuchung wurde dadurch nicht wesentlich erleichtert, weshalb dieses nur ganz leicht strafmindernd zu be- rücksichtigen ist. Richtigerweise hat die Vorinstanz auch die Bemühungen des Beschuldigten nach der Tat sowie seine Einsicht und Reue strafmindernd berück- sichtigt. Die Strafminderung von zwei Monaten erscheint den Umständen ange- messen, wird auch durch die Verteidigung nicht moniert (Urk. 69 S. 2) und kann so übernommen werden (Urk. 53 S. 11 f.).</w:t>
      </w:r>
    </w:p>
    <w:p>
      <w:r>
        <w:rPr>
          <w:b/>
        </w:rPr>
        <w:t>E. 3.7</w:t>
      </w:r>
    </w:p>
    <w:p>
      <w:r>
        <w:t>In Bestätigung des vorinstanzlichen Urteils ist der Beschuldigte somit mit einer Freiheitsstrafe von 18 Monaten zu bestrafen. Der Anrechnung der vom Be- schuldigten erstandenen 52 Tage Untersuchungshaft steht nichts entgegen (Art. 51 StGB).</w:t>
      </w:r>
    </w:p>
    <w:p>
      <w:r>
        <w:rPr>
          <w:b/>
        </w:rPr>
        <w:t>E. 3.8</w:t>
      </w:r>
    </w:p>
    <w:p>
      <w:r>
        <w:t>Unter Verweis auf die zutreffenden Erwägungen der Vorinstanz (Urk. 53 S. 14/15) ist der Vollzug der Freiheitsstrafe unter Ansetzung einer Probezeit von 2 Jahren bedingt aufzuschieben. III. Landesverweisung 1. Ausgangslage Die Vorinstanz bejahte das Vorliegen einer Katalogtat im Sinne von Art. 66a Abs. 1 BetmG, verneinte einen schweren persönlichen Härtefall und sprach gegenüber dem Beschuldigten eine Landesverweisung für die Dauer von fünf Jahren aus (Urk. 53 S. 15 ff.).</w:t>
      </w:r>
    </w:p>
    <w:p>
      <w:r>
        <w:t>- 12 - 2. Anwendbares Recht und Würdigung</w:t>
      </w:r>
    </w:p>
    <w:p>
      <w:r>
        <w:rPr>
          <w:b/>
        </w:rPr>
        <w:t>E. 4</w:t>
      </w:r>
    </w:p>
    <w:p>
      <w:r>
        <w:t>Bezahlt der Beschuldigte die Busse schuldhaft nicht, so tritt an deren Stelle eine Er- satzfreiheitsstrafe von 3 Tagen.</w:t>
      </w:r>
    </w:p>
    <w:p>
      <w:r>
        <w:rPr>
          <w:b/>
        </w:rPr>
        <w:t>E. 5</w:t>
      </w:r>
    </w:p>
    <w:p>
      <w:r>
        <w:t>[…]</w:t>
      </w:r>
    </w:p>
    <w:p>
      <w:r>
        <w:rPr>
          <w:b/>
        </w:rPr>
        <w:t>E. 6</w:t>
      </w:r>
    </w:p>
    <w:p>
      <w:r>
        <w:t>[…]</w:t>
      </w:r>
    </w:p>
    <w:p>
      <w:r>
        <w:rPr>
          <w:b/>
        </w:rPr>
        <w:t>E. 7</w:t>
      </w:r>
    </w:p>
    <w:p>
      <w:r>
        <w:t>Die mit Verfügung der Staatsanwaltschaft vom 31. Januar 2017 beschlagnahmte Barkaution in der Höhe von Fr. 400.– wird eingezogen und zur Deckung der Busse und der Verfahrenskosten verwendet.</w:t>
      </w:r>
    </w:p>
    <w:p>
      <w:r>
        <w:rPr>
          <w:b/>
        </w:rPr>
        <w:t>E. 8</w:t>
      </w:r>
    </w:p>
    <w:p>
      <w:r>
        <w:t>Die von der Kantonspolizei Zürich am 29. Januar 2017 sichergestellten Betäubungs- mittel, Stoffe und Gegenstände (Geschäfts-Nr. 68776409): − Mobiltelefon Nokia (Asservat Nr. A010'068'049); − Mobiltelefon Huawei (Asservat Nr. A010'068'210); − Mobiltelefon Samsung silber (Asservat Nr. A010'068'367); − Mobiltelefon Samsung weiss (Asservat Nr. A010'068'390); − Schere (Asservat Nr. A010'068'629); − 2 Miniwaagen (Asservat Nr. A010'068'641 und A010'068'674); − Cellophanbeutel &amp; schwarze Socke (Asservat Nr. A010'068'458); − Cellophanbeutel (Asservat Nr. A010'068'505); − Salzstreuer (Asservat Nr. A010'068'549); − Behälter "…" (Asservat Nr. A010'068'572); − Einmachglas (Asservat Nr. A010'068'594);</w:t>
      </w:r>
    </w:p>
    <w:p>
      <w:r>
        <w:t>- 15 - werden eingezogen und der Lagerbehörde zur gutscheinenden Verwendung über- lassen.</w:t>
      </w:r>
    </w:p>
    <w:p>
      <w:r>
        <w:rPr>
          <w:b/>
        </w:rPr>
        <w:t>E. 9</w:t>
      </w:r>
    </w:p>
    <w:p>
      <w:r>
        <w:t>Die Gerichtsgebühr wird festgesetzt auf: Fr. 4'500.– ; die weiteren Kosten betragen: Fr. 1'100.– Gebühr Anklagebehörde Fr. 280.– Auslagen Kantonspolizei Fr. 600.– Gutachte n Betäubungs m ittel Fr. 4'163.90 amtliche Verteidigung Allfällige weitere Auslagen bleiben vorbehalten.</w:t>
      </w:r>
    </w:p>
    <w:p>
      <w:r>
        <w:rPr>
          <w:b/>
        </w:rPr>
        <w:t>E. 10</w:t>
      </w:r>
    </w:p>
    <w:p>
      <w:r>
        <w:t>Die Kosten der Untersuchung und des gerichtlichen Verfahrens, ausgenommen die- jenigen der amtlichen Verteidigung, werden dem Beschuldigten auferlegt.</w:t>
      </w:r>
    </w:p>
    <w:p>
      <w:r>
        <w:rPr>
          <w:b/>
        </w:rPr>
        <w:t>E. 11</w:t>
      </w:r>
    </w:p>
    <w:p>
      <w:r>
        <w:t>Die amtliche Verteidigung wird mit Fr. 4'163.90 entschädigt. Diese Kosten werden auf die Gerichtskasse genommen, vorbehalten bleibt eine Nachforderung gemäss Art. 135 Abs. 4 StPO."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