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SB170466 vom 15. Februar 2022</w:t>
      </w:r>
    </w:p>
    <w:p>
      <w:r>
        <w:t>ZH Obergericht, 2022-02-15, DE</w:t>
      </w:r>
    </w:p>
    <w:p>
      <w:r>
        <w:rPr>
          <w:b/>
        </w:rPr>
        <w:t xml:space="preserve">Quelle: </w:t>
      </w:r>
      <w:r>
        <w:t>https://mcp.opencaselaw.ch/entscheid/zh_obergericht_SB170466</w:t>
      </w:r>
    </w:p>
    <w:p>
      <w:r>
        <w:t>FR: ZH_OBERGERICHT SB170466 du 15 février 2022</w:t>
      </w:r>
    </w:p>
    <w:p>
      <w:r>
        <w:t>IT: ZH_OBERGERICHT SB170466 del 15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Vorinstanz verhandelte gleichzeitig mit dem vorliegenden Fall auch die von der Staatsanwaltschaft Zürich-Limmat (nachfolgend: Staatsanwaltschaft) er- hobene separate Anklage gegen die Mitbeschuldigte B._____, Geschäftsnummer DG160339 (Urk. 94/21), welche zwar administrativ von der Erstinstanz in getrenn- ten Verfahren geführt, jedoch von Anfang an und bis zur mündlichen Hauptver- handlung gemeinsam behandelt wurden (Prot. I S. 2 ff., 11 ff.). Die Mitbeschuldig- te B._____ wurde im Rahmen der mündlichen Hauptverhandlung mit Urteil vom</w:t>
      </w:r>
    </w:p>
    <w:p>
      <w:r>
        <w:t>- 5 -</w:t>
      </w:r>
    </w:p>
    <w:p>
      <w:r>
        <w:rPr>
          <w:b/>
        </w:rPr>
        <w:t>E. 5</w:t>
      </w:r>
    </w:p>
    <w:p>
      <w:r>
        <w:t>September 2017 des falschen Zeugnisses im Sinne von Art. 307 Abs. 1 StGB und der Begünstigung im Sinne von Art. 305 Abs. 1 StGB schuldig gesprochen und mit 14 Monaten Freiheitsstrafe bestraft, bedingt vollziehbar bei einer Probe- zeit von zwei Jahren (Prot. DG160339 S. 17; Urk. 94/41). Sie focht ihr Urteil nicht an, so dass es in Rechtskraft erwuchs (Urk. 94/42). 2. Das eingangs im Dispositiv erwähnte Urteil des Bezirksgerichts Zürich,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