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SB170425 vom 1. Februar 2018</w:t>
      </w:r>
    </w:p>
    <w:p>
      <w:r>
        <w:t>ZH Obergericht, 2018-02-01, DE</w:t>
      </w:r>
    </w:p>
    <w:p>
      <w:r>
        <w:rPr>
          <w:b/>
        </w:rPr>
        <w:t xml:space="preserve">Quelle: </w:t>
      </w:r>
      <w:r>
        <w:t>https://mcp.opencaselaw.ch/entscheid/zh_obergericht_SB170425</w:t>
      </w:r>
    </w:p>
    <w:p>
      <w:r>
        <w:t>FR: ZH_OBERGERICHT SB170425 du 1 février 2018</w:t>
      </w:r>
    </w:p>
    <w:p>
      <w:r>
        <w:t>IT: ZH_OBERGERICHT SB170425 del 1 febbraio 2018</w:t>
      </w:r>
    </w:p>
    <w:p>
      <w:pPr>
        <w:pStyle w:val="Heading2"/>
      </w:pPr>
      <w:r>
        <w:t>Erwägungen</w:t>
      </w:r>
    </w:p>
    <w:p>
      <w:r>
        <w:rPr>
          <w:b/>
        </w:rPr>
        <w:t>E. 1</w:t>
      </w:r>
    </w:p>
    <w:p>
      <w:r>
        <w:t>Verfahrensgang</w:t>
      </w:r>
    </w:p>
    <w:p>
      <w:r>
        <w:rPr>
          <w:b/>
        </w:rPr>
        <w:t>E. 1.1</w:t>
      </w:r>
    </w:p>
    <w:p>
      <w:r>
        <w:t>Im Laufe des vorinstanzlichen Verfahrens stellte der Beschuldigte mit Ein- gabe vom 4. Juli 2017 (Urk. 22) den Antrag, dass Rechtsanwältin MLaw X._____ als amtliche Verteidigerin einzusetzen sei, und beantragte weiter, die auf den 17. Juli 2017 angesetzte Hauptverhandlung sei zu verschieben. Beide Anträge lehnte die Vorinstanz mit Verfügung vom 5. Juli 2017 ab (Urk. 24). Dagegen führ- te der Beschuldigte mit Eingabe vom 7. Juli 2017 Beschwerde ans Obergericht des Kantons Zürich, III. Strafkammer (Urk. 27).</w:t>
      </w:r>
    </w:p>
    <w:p>
      <w:r>
        <w:rPr>
          <w:b/>
        </w:rPr>
        <w:t>E. 1.2</w:t>
      </w:r>
    </w:p>
    <w:p>
      <w:r>
        <w:t>Mit Urteil des Bezirksgerichtes Horgen, Einzelgericht, vom 17. Juli 2017 wurde der Beschuldigte des rechtswidrigen Aufenthalts im Sinne von Art. 115 Abs. 1 lit. b AuG schuldig gesprochen und mit einer Freiheitsstrafe von 5 Monaten bestraft, unter Anrechnung von zwei Tagen Haft. Für die ausgesprochene Frei- heitsstrafe wurde der Vollzug angeordnet (Urk. 43 S. 17 f.). An der Hauptverhand- lung war der Beschuldigte alleine persönlich anwesend.</w:t>
      </w:r>
    </w:p>
    <w:p>
      <w:r>
        <w:rPr>
          <w:b/>
        </w:rPr>
        <w:t>E. 1.3</w:t>
      </w:r>
    </w:p>
    <w:p>
      <w:r>
        <w:t>Gegen dieses Urteil meldete die Verteidigung innert Frist Berufung an (Urk. 38) und reichte, ebenfalls fristgerecht, die Berufungserklärung ins Recht (Urk. 45).</w:t>
      </w:r>
    </w:p>
    <w:p>
      <w:r>
        <w:rPr>
          <w:b/>
        </w:rPr>
        <w:t>E. 1.4</w:t>
      </w:r>
    </w:p>
    <w:p>
      <w:r>
        <w:t>Zwischenzeitlich erging am 7. September 2017 der Beschluss der III. Straf- kammer des Obergerichtes des Kantons Zürich (Urk. 40), mit welchem Rechts- anwältin MLaw X._____ mit Wirkung ab 4. Juli 2017 als amtliche Verteidigerin des Beschuldigten bestellt wurde (Urk. 40 S. 8).</w:t>
      </w:r>
    </w:p>
    <w:p>
      <w:r>
        <w:rPr>
          <w:b/>
        </w:rPr>
        <w:t>E. 1.5</w:t>
      </w:r>
    </w:p>
    <w:p>
      <w:r>
        <w:t>Mit Präsidialverfügung vom 15. Januar 2018 wurden den Parteien im vor- liegenden Berufungsverfahren Frist angesetzt, um zur Frage der Rückweisung an die Vorinstanz Stellung zu nehmen (Urk. 54). Die Staatsanwaltschaft erklärte in der Folge Verzicht auf Vernehmlassung (Urk. 56). Die amtliche Verteidigung beantragte in ihrer Stellungnahme vom 18. Januar 2018 die Rückweisung an die Vorinstanz aufgrund fehlender Verteidigung im vorinstanzlichen Verfahren (Urk. 58).</w:t>
      </w:r>
    </w:p>
    <w:p>
      <w:r>
        <w:t>- 3 -</w:t>
      </w:r>
    </w:p>
    <w:p>
      <w:r>
        <w:rPr>
          <w:b/>
        </w:rPr>
        <w:t>E. 2</w:t>
      </w:r>
    </w:p>
    <w:p>
      <w:r>
        <w:t>Verteidigung im vorinstanzlichen Verfahren</w:t>
      </w:r>
    </w:p>
    <w:p>
      <w:r>
        <w:rPr>
          <w:b/>
        </w:rPr>
        <w:t>E. 2.1</w:t>
      </w:r>
    </w:p>
    <w:p>
      <w:r>
        <w:t>Wie erwähnt, wies die Vorinstanz das Gesuch des Beschuldigten um Ein- setzung einer amtlichen Verteidigung ab und führte die Hauptverhandlung wie anberaumt und ohne formelle Verteidigung des Beschuldigten durch.</w:t>
      </w:r>
    </w:p>
    <w:p>
      <w:r>
        <w:rPr>
          <w:b/>
        </w:rPr>
        <w:t>E. 2.2</w:t>
      </w:r>
    </w:p>
    <w:p>
      <w:r>
        <w:t>Die III. Strafkammer des Obergerichts des Kantons Zürich hiess die da- gegen erhobene Beschwerde gut. Dieser Beschluss vom 7. September 2017 (Urk. 40) blieb unangefochten und erwuchs in Rechtskraft. Damit steht für die hiesige Kammer verbindlich fest, dass bereits im vorinstanzlichen Verfahren die Voraussetzungen für die Bestellung einer amtlichen Verteidigung gegeben waren. Folglich setzte die III. Strafkammer Rechtsanwältin MLaw X._____ rückwirkend per 4. Juli 2017 als amtliche Verteidigerin des Beschuldigten ein (Urk. 40 Disp.- Ziff. 1).</w:t>
      </w:r>
    </w:p>
    <w:p>
      <w:r>
        <w:rPr>
          <w:b/>
        </w:rPr>
        <w:t>E. 2.3</w:t>
      </w:r>
    </w:p>
    <w:p>
      <w:r>
        <w:t>Damit steht auch fest, dass die vorinstanzliche Hauptverhandlung in Ver- letzung der Verteidigungsrechte des Beschuldigten (vgl. Art. 6 Ziff. 3 EMRK, Art. 29 Abs. 3 BV und Art. 132 Abs. 1 lit. b StPO) durchgeführt wurde.</w:t>
      </w:r>
    </w:p>
    <w:p>
      <w:r>
        <w:rPr>
          <w:b/>
        </w:rPr>
        <w:t>E. 3</w:t>
      </w:r>
    </w:p>
    <w:p>
      <w:r>
        <w:t>Rückweisung</w:t>
      </w:r>
    </w:p>
    <w:p>
      <w:r>
        <w:rPr>
          <w:b/>
        </w:rPr>
        <w:t>E. 3.1</w:t>
      </w:r>
    </w:p>
    <w:p>
      <w:r>
        <w:t>Gemäss Art. 409 Abs. 1 StPO weist das Berufungsgericht die Sache an die Vorinstanz zurück, wenn das erstinstanzliche Verfahren wesentliche Mängel auf- weist, die im Berufungsverfahren nicht geheilt werden können. Die Bestimmung greift nur, wenn die Fehler des erstinstanzlichen Verfahrens und Urteils derart gravierend sind, dass die Rückweisung zur Wahrung der Parteirechte unumgäng- lich erscheint (Urteil des Bundesgerichts 6B_794/2014 vom 9. Februar 2015 E. 8.2; HUG, in: Kommentar zur Schweizerischen Strafprozessordnung, Art. 409 N 1 ff. StPO; je mit Hinweisen).</w:t>
      </w:r>
    </w:p>
    <w:p>
      <w:r>
        <w:rPr>
          <w:b/>
        </w:rPr>
        <w:t>E. 3.2</w:t>
      </w:r>
    </w:p>
    <w:p>
      <w:r>
        <w:t>Der Verfahrensmangel der fehlenden, aber erforderlichen Verteidigung kann im Berufungsverfahren nicht geheilt werden. In Übereinstimmung mit den Anträgen der amtlichen Verteidigung ist das vorinstanzliche Urteil zur Wahrung des Instanzenzuges gestützt auf Art. 409 Abs. 1 StPO aufzuheben und die Sache zur Neubeurteilung an die Vorinstanz zurückzuweisen (vgl. auch</w:t>
      </w:r>
    </w:p>
    <w:p>
      <w:r>
        <w:t>- 4 - SCHMID/JOSITSCH, Praxiskommentar StPO, 3. Aufl., Zürich/St. Gallen 2018, N 2 zu Art. 409; BSK StPO-EUGSTER, N 1 zu Art. 409; Urteil des Bundesgerichtes 6B_32/2017 vom 29. September 2017 E. 6.1).</w:t>
      </w:r>
    </w:p>
    <w:p>
      <w:r>
        <w:rPr>
          <w:b/>
        </w:rPr>
        <w:t>E. 4</w:t>
      </w:r>
    </w:p>
    <w:p>
      <w:r>
        <w:t>Kosten- und Entschädigungsfolgen Ausgangsgemäss sind die Kosten des Berufungsverfahrens auf die Gerichts- kasse zu nehmen. Die amtliche Verteidigerin ist für die ausgewiesenen (Urk. 61/ 1-3) und angemessenen Bemühungen im Berufungsverfahren mit Fr. 787.55 (inkl. Auslagen und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