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SB170337 vom 16. März 2018</w:t>
      </w:r>
    </w:p>
    <w:p>
      <w:r>
        <w:t>ZH Obergericht, 2018-03-16, DE</w:t>
      </w:r>
    </w:p>
    <w:p>
      <w:r>
        <w:rPr>
          <w:b/>
        </w:rPr>
        <w:t xml:space="preserve">Quelle: </w:t>
      </w:r>
      <w:r>
        <w:t>https://mcp.opencaselaw.ch/entscheid/zh_obergericht_SB170337</w:t>
      </w:r>
    </w:p>
    <w:p>
      <w:r>
        <w:t>FR: ZH_OBERGERICHT SB170337 du 16 mars 2018</w:t>
      </w:r>
    </w:p>
    <w:p>
      <w:r>
        <w:t>IT: ZH_OBERGERICHT SB170337 del 16 marzo 2018</w:t>
      </w:r>
    </w:p>
    <w:p>
      <w:pPr>
        <w:pStyle w:val="Heading2"/>
      </w:pPr>
      <w:r>
        <w:t>Erwägungen</w:t>
      </w:r>
    </w:p>
    <w:p>
      <w:r>
        <w:rPr>
          <w:b/>
        </w:rPr>
        <w:t>E. 1</w:t>
      </w:r>
    </w:p>
    <w:p>
      <w:r>
        <w:t>Die Kosten der Untersuchung sowie beider gerichtlichen Verfahren sind auf die Staatskasse zu nehmen und der Beschuldigten eine Genugtuung für die erlit- tene Untersuchungshaft von 35 Tagen (Urk. 35/1; Urk. 35/15) auszurichten (Art. 426 StPO; Art. 428 StPO; 429 StPO). 2.1 Der amtliche Verteidiger der Beschuldigten ist für seine Bemühungen im Be- rufungsverfahren mit Fr. 5'360.– zu entschädigen. 2.2.1 Die Genugtuung für die erlittene Untersuchungshaft ist auf Fr. 7'000.– fest- zusetzen. Es sind entgegen der Verteidigung (vgl. Urk. 99 S. 9) keine Umstände ersichtlich, die es angezeigt erscheinen lassen würden, vom Grundbetrag von Fr. 200.– pro Tag erlittener Haft gemäss bundesgerichtlicher Rechtsprechung ab- zuweichen. Im Mehrbetrag ist das Genugtuungsbegehren der Beschuldigten folg- lich abzuweisen. 2.2.2 Die Beschuldigte war im Zeitpunkt ihrer Inhaftierung arbeitslos (Urk. 17/3 S. 3). Dafür, dass sie während der Dauer der Untersuchungshaft eine Arbeitsstel- le gefunden hätte und sie folglich durch die Inhaftierung einen Schaden im Um- fang eines Monatslohns in der Höhe von Fr. 4'000.– brutto erlitt (Urk. 99 S. 8; Prot. II S. 21), fehlen jegliche Anhaltspunkte. Die Beschuldigte belässt es insoweit bei einer blossen (unsubstantiierten) Behauptung. Unsubstantiiert und unbelegt bleibt auch die Höhe des behaupteten Ausfalls der Arbeitslosenentschädigung (Urk. 99 S. 8). Ihre Schadenersatzforderung ist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