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SB170310 vom 31. März 2021</w:t>
      </w:r>
    </w:p>
    <w:p>
      <w:r>
        <w:t>ZH Obergericht, 2021-03-31, DE</w:t>
      </w:r>
    </w:p>
    <w:p>
      <w:r>
        <w:rPr>
          <w:b/>
        </w:rPr>
        <w:t xml:space="preserve">Quelle: </w:t>
      </w:r>
      <w:r>
        <w:t>https://mcp.opencaselaw.ch/entscheid/zh_obergericht_SB170310</w:t>
      </w:r>
    </w:p>
    <w:p>
      <w:r>
        <w:t>FR: ZH_OBERGERICHT SB170310 du 31 mars 2021</w:t>
      </w:r>
    </w:p>
    <w:p>
      <w:r>
        <w:t>IT: ZH_OBERGERICHT SB170310 del 31 marzo 2021</w:t>
      </w:r>
    </w:p>
    <w:p>
      <w:pPr>
        <w:pStyle w:val="Heading2"/>
      </w:pPr>
      <w:r>
        <w:t>Erwägungen</w:t>
      </w:r>
    </w:p>
    <w:p>
      <w:r>
        <w:rPr>
          <w:b/>
        </w:rPr>
        <w:t>E. 1</w:t>
      </w:r>
    </w:p>
    <w:p>
      <w:r>
        <w:t>Seitens der Vorinstanz wurde der Verfahrensgang hinsichtlich des Vorver- fahrens einlässlich und zutreffend geschildert (Urk. 74 E. I.), weshalb vollumfäng- lich darauf verwiesen werden kann.</w:t>
      </w:r>
    </w:p>
    <w:p>
      <w:r>
        <w:rPr>
          <w:b/>
        </w:rPr>
        <w:t>E. 2</w:t>
      </w:r>
    </w:p>
    <w:p>
      <w:r>
        <w:t>Das Bezirksgericht Zürich, 9. Abteilung, entschied mit Urteil vom 19. Juni 2017 im Verfahren DG160257 über die vorliegende Anklage. Gegen dieses Urteil liess der amtliche Verteidiger des Beschuldigten mit Eingabe vom 22. Juni 2017 (Urk. 69) innert Frist Berufung anmelden. Das vollständig begründete Urteil (Urk. 70 bzw. 74) wurde von der Staatsanwaltschaft am 21. Juli 2017 und von der Verteidigung am 24. Juli 2017 entgegengenommen (Urk. 72/1-2). Mit Eingabe vom 11. August 2017 ging die Berufungserklärung des Beschuldigten hierorts ein (Urk. 76). Mit Präsidialverfügung vom 15. August 2017 (Urk. 78) wurde der Staatsanwaltschaft sowie den Privatklägern unter Hinweis auf die Berufungserklä- rung des Beschuldigten Frist zur Erhebung einer Anschlussberufung bzw. zum Antrag auf Nichteintreten auf die Berufung angesetzt. Mit Eingabe vom 1. September 2017 (Urk. 80) erhob die Staatsanwaltschaft fristgerecht An- schlussberufung. Eine Kopie der Anschlussberufung der Staatsanwaltschaft wur- de dem Beschuldigten bzw. den Privatklägern mit Präsidialverfügung vom 16. Oktober 2017 zugestellt (Urk. 87). Eine zwischenzeitlich seitens der Privatklä- gerin 8 erhobene Anschlussberufung (vgl. Urk. 81/A-B; Urk. 82) wurde von ihr mit Eingabe vom 13. Oktober 2017 wieder zurückgezogen, wobei sie gleichzeitig aus- führte, dass sie an der ihr vorinstanzlich zugesprochenen Forderung von Fr. 6'361.60 festhalte (Urk. 85; vgl. auch Urk. 83 u. 87).</w:t>
      </w:r>
    </w:p>
    <w:p>
      <w:r>
        <w:rPr>
          <w:b/>
        </w:rPr>
        <w:t>E. 3</w:t>
      </w:r>
    </w:p>
    <w:p>
      <w:r>
        <w:t>Mit Schreiben vom 3. Juli 2018 (Urk. 91) erteilte der vormalige Referent den Auftrag an Dr. med. AA._____, sein forensisch-psychiatrisches Gutachten vom</w:t>
      </w:r>
    </w:p>
    <w:p>
      <w:r>
        <w:rPr>
          <w:b/>
        </w:rPr>
        <w:t>E. 3.1</w:t>
      </w:r>
    </w:p>
    <w:p>
      <w:r>
        <w:t>Hinsichtlich der Nötigung wurde von der Vorinstanz vorab zutreffend erwo- gen (Urk. 74 E. IV.A.3.1.), dass eine Verurteilung des Beschuldigten wegen Nöti- gung im Sinne von Art. 181 StGB zufolge des erfolgten Hinweises im Sinne von Art. 344 StPO und angesichts der rechtsgenügenden Umschreibung des entspre- chenden Kernsachverhalts in der Anklageschrift grundsätzlich möglich sei.</w:t>
      </w:r>
    </w:p>
    <w:p>
      <w:r>
        <w:rPr>
          <w:b/>
        </w:rPr>
        <w:t>E. 3.2</w:t>
      </w:r>
    </w:p>
    <w:p>
      <w:r>
        <w:t>In der Lehre werden unterschiedliche Auffassungen vertreten, ob zwischen der Nötigung und der Verletzung von Verkehrsbestimmungen unechte oder echte Konkurrenz besteht, wenn ein Verkehrsteilnehmer durch seine Fahrweise einen anderen Strassenbenützer zu einem bestimmten Verhalten nötigt. Gemäss bun- desgerichtlicher Rechtsprechung ist echte Konkurrenz zwischen Art. 181 StGB und Art. 90 Abs. 2 SVG anzunehmen, weil die beiden Straftatbestände unter- schiedliche Rechtsgüter schützen würden: Mit den Verkehrsregeln solle laut dem Bundesgericht insbesondere die Verkehrssicherheit auf öffentlichen Strassen ge- währleistet werden. Demgegenüber schütze der Nötigungstatbestand die Hand- lungsfreiheit bzw. die Freiheit der Willensbildung und -betätigung des Einzelnen. Daneben seien auch verschiedene Rechtsgutträger betroffen, weil Art. 90 Abs. 2 SVG überdies weitere abstrakt gefährdete Verkehrsteilnehmer schütze (BGE 137 IV 326 E. 3.5.1., 3.5.2. u. 3.6. m.w.H., auch zu den unterschiedlichen Lehrmei- nungen). Aufgrund dieser Auffassung käme somit grundsätzlich zusätzlich eine Bestrafung wegen Nötigung in Frage, zumal der entsprechende Kernsachverhalt diesbezüglich rechtsgenügend umschrieben wurde.</w:t>
      </w:r>
    </w:p>
    <w:p>
      <w:r>
        <w:rPr>
          <w:b/>
        </w:rPr>
        <w:t>E. 3.3</w:t>
      </w:r>
    </w:p>
    <w:p>
      <w:r>
        <w:t>Seitens der Vorinstanz wird nun aber erwogen, dass aufgrund weiterer De- likte wie diejenigen der (allenfalls teilweise versuchten) Körperverletzung und des</w:t>
      </w:r>
    </w:p>
    <w:p>
      <w:r>
        <w:t>- 20 - gewerbsmässigen Betrugs, die jeweils vorangehende Nötigung diesbezüglich als mitbestrafte Vortat erscheine (Urk. 74 E. IV.A.3.2.). Diese Auffassung erweist sich als zutreffend. Entscheidend ist nämlich, dass die massgebenden Tathandlungen zumindest zum Teil kongruent sind mit der Nötigungshandlung bzw. in einer sehr engen zeitlichen Konnexität stehen. Im Zusammenhang mit der angeklagten ein- fachen Körperverletzung erweist sich vorliegend die Nötigungshandlung als mit- bestrafte Vortat, weil die der Körperverletzung vorausgehende Beeinträchtigung der Willensfreiheit der Privatkläger mit dem Eingriff in die körperliche Integrität ei- ne Handlungseinheit bildet (vgl. BGE 104 IV 173 E. 2). Hinsichtlich der Konkur- renz zum gewerbsmässigen Betrug ist entscheidend, dass die Nötigungshandlung dermassen in der Täuschungshandlung im Rahmen des Betrugs aufgeht, dass diese ebenfalls eine Handlungseinheit bilden. Auch diesbezüglich wird die Nöti- gung durch den Beschuldigten demnach als mitbestrafte Vortat konsumiert. Schliesslich ist vorliegend auch das Verschlechterungsverbot gemäss Art. 391 Abs. 2 StPO hinsichtlich der rechtlichen Würdigung zu beachten, erstreckt sich die Anschlussberufung der Staatsanwaltschaft nämlich nicht auf die rechtliche Würdigung durch die Vorinstanz (vgl. Urk. 80). Eine Verurteilung des Beschuldig- ten wegen Nötigung im Sinne von Art. 181 StGB kommt demnach so oder anders nicht in Frage.</w:t>
      </w:r>
    </w:p>
    <w:p>
      <w:r>
        <w:rPr>
          <w:b/>
        </w:rPr>
        <w:t>E. 3.4</w:t>
      </w:r>
    </w:p>
    <w:p>
      <w:r>
        <w:t>Auch die einzelnen Merkmale des Betrugs bzw. die Betrugshandlungen (Täuschung, Arglist, Irrtum, Vermögensdisposition und Schaden) wurden in der Anklage (Urk. 34/1) rechtsgenügend umschrieben. Die entsprechenden Ausfüh- rungen der Vorinstanz erweisen sich als zutreffend (Urk. 74 E. IV.A.2.2.2.) und darauf kann vollumfänglich verwiesen werden. Auch diesbezüglich wusste der Beschuldigte, was ihm vorgeworfen wurde und konnte sich dementsprechend ver- teidigen. Auch war ihm aufgrund der Involvierung von Kollisions- und weiteren Vorfallbeteiligten sowie Versicherungsgesellschaften und der ausführlichen Be- schreibung in der Anklageschrift klar, dass allenfalls mehrere Personen in die Be- urteilung des Schadensfalls eingebunden waren und es somit fallweise zu Irr- tumsvermittlungen bzw. einer Irrtumsvermittlungskette gekommen ist (zu diesen Begriffen: z.B. BEATRICE KÄSER, Sozialleistungsbetrug, Sozialversicherungsbe- trug/Sozialversicherungsmissbrauch, Diss. Zürich 2012, N 242 m.w.H.). Auch die- se wurden in der Anklageschrift detailliert umschrieben. Der Anklagegrundsatz wurde deshalb rechtsgenügend gewahrt.</w:t>
      </w:r>
    </w:p>
    <w:p>
      <w:r>
        <w:t>- 18 -</w:t>
      </w:r>
    </w:p>
    <w:p>
      <w:r>
        <w:rPr>
          <w:b/>
        </w:rPr>
        <w:t>E. 3.5</w:t>
      </w:r>
    </w:p>
    <w:p>
      <w:r>
        <w:t>Auch die einzelnen Merkmale der vorsätzlichen, teilweise versuchten Kör- perverletzung wurden in der Anklage rechtsgenügend umschrieben (Urk. 34/1 S. 12 f.). Entgegen der Verteidigung ist die Frage, ob sich die Gefahr für die kör- perliche Unversehrtheit der Kollisionsbeteiligten im Einzelfall verwirklicht hat, im Rahmen der rechtlichen Würdigung (nachstehend unter E. IV.D.) und insbesonde- re gesondert von Art. 90 Ziff. 2 SVG zu prüfen, da es sich bei der groben Ver- kehrsregelverletzung und der Körperverletzung um zwei verschiedene Rechtsgü- ter handelt.</w:t>
      </w:r>
    </w:p>
    <w:p>
      <w:r>
        <w:rPr>
          <w:b/>
        </w:rPr>
        <w:t>E. 3.6</w:t>
      </w:r>
    </w:p>
    <w:p>
      <w:r>
        <w:t>Einhergehend mit der Vorinstanz (Urk. 74 E. A.IV.2.2.2.) ist schliesslich fest- zustellen, dass vorliegend die – bedingt durch die hohe Anzahl an ähnlich gela- gerten Unfällen naheliegenden – den einzelnen Dossiers vorangestellten, verein- heitlichenden Angaben und auch die Verwendung von Alternativbeschreibungen das Anklageprinzip nicht verletzen. Der Beschuldigte wusste, was Gegenstand der Anklage ist und konnte sich jederzeit gehörig verteidigen. C. Abweichende rechtliche Würdigung 1. Will das Gericht den Sachverhalt rechtlich anders würdigen als die Staats- anwaltschaft in der Anklageschrift, so eröffnet es dies den anwesenden Parteien und gibt ihnen Gelegenheit zur Stellungnahme (Art. 344 StPO). Die rechtliche Würdigung des durch die Anklageschrift bestimmten Prozessgegenstandes ist ausschliesslich Aufgabe des Gerichts und kann nicht durch die Parteien vorbe- stimmt oder eingeschränkt werden, weshalb das Gericht von den Anträgen der Staatsanwaltschaft – ebenso wie von denjenigen der beschuldigten Person oder der Privatklägerschaft – abweichen kann (Urteil des Bundesgerichts 6B_254/2015 vom 27. August 2015 E. 3.1.). Mit der Vorinstanz (Urk. 74 E. IV.A.1.3.) hat der Hinweis seitens des Gerichts auf die Möglichkeit einer abweichenden rechtlichen Würdigung spätestens vor Abschluss des Beweisverfahrens zu erfolgen (BSK StPO-HAURI/VENETZ, Art. 344 StPO N 12). Vorauszusetzen ist in diesem Zusam- menhang, dass die Umschreibung des Sachverhalts in der Anklage die Subsump- tion unter einen anderen Straftatbestand überhaupt zulässt.</w:t>
      </w:r>
    </w:p>
    <w:p>
      <w:r>
        <w:t>- 19 - 2. Seitens der Vorinstanz wurde den Parteien anlässlich der Hauptverhandlung im Rahmen der Vorfragen mitgeteilt, dass das Gericht für den Fall eines Schuld- spruchs die Möglichkeit einer von der Anklage abweichenden rechtlichen Würdi- gung in Betracht ziehe. So kam für die Vorinstanz zusätzlich zum Vorwurf der groben Verkehrsregelverletzung die Prüfung des Vorliegens einer Nötigung sowie die Subsumption der angeklagten Sachbeschädigungen unter die Qualifizierung als grosser Schaden im Sinne von Abs. 3 von Art. 144 StGB in Frage (Prot. I S. 6).</w:t>
      </w:r>
    </w:p>
    <w:p>
      <w:r>
        <w:rPr>
          <w:b/>
        </w:rPr>
        <w:t>E. 4</w:t>
      </w:r>
    </w:p>
    <w:p>
      <w:r>
        <w:t>Die Vorladungen an die Staatsanwaltschaft, die Privatkläger und den Be- schuldigten zur heutigen Berufungsverhandlung ergingen am 20. März 2020 (Urk. 111).</w:t>
      </w:r>
    </w:p>
    <w:p>
      <w:r>
        <w:rPr>
          <w:b/>
        </w:rPr>
        <w:t>E. 4.1</w:t>
      </w:r>
    </w:p>
    <w:p>
      <w:r>
        <w:t>Auch hinsichtlich der Frage des Vorliegens eines grossen Schadens bzw. der Möglichkeit einer Bestrafung gemäss Art. 144 Abs. 3 StGB wurde seitens der Vorinstanz rechtzeitig der erforderliche Hinweis an die Parteien gemacht, weshalb eine entsprechende Verurteilung grundsätzlich zulässig wäre.</w:t>
      </w:r>
    </w:p>
    <w:p>
      <w:r>
        <w:rPr>
          <w:b/>
        </w:rPr>
        <w:t>E. 4.2</w:t>
      </w:r>
    </w:p>
    <w:p>
      <w:r>
        <w:t>Vorliegend ist zu prüfen, ob ein grosser Schaden im Sinne des Gesetzes vorliegt bzw. ob eine zusammenfassende Addition der Schäden aus den einzel- nen Dossiers zulässig ist, was seitens der Verteidigung mit dem zusätzlichen Hinweis darauf, dass sich auch der Vorsatz des Beschuldigten auf einen grossen Schaden hätte beziehen müssen (Urk. 63 S. 27), verneint wird.</w:t>
      </w:r>
    </w:p>
    <w:p>
      <w:r>
        <w:rPr>
          <w:b/>
        </w:rPr>
        <w:t>E. 4.3</w:t>
      </w:r>
    </w:p>
    <w:p>
      <w:r>
        <w:t>Als im Sinne von Art. 144 Abs. 3 StGB gross gilt ein Schaden, welcher den Betrag von Fr. 10'000.- übertrifft (Urteil des Bundesgerichts 6B_699/2018 vom</w:t>
      </w:r>
    </w:p>
    <w:p>
      <w:r>
        <w:rPr>
          <w:b/>
        </w:rPr>
        <w:t>E. 4.4</w:t>
      </w:r>
    </w:p>
    <w:p>
      <w:r>
        <w:t>Entgegen der Auffassung der Vorinstanz (Urk. 74 E. IV.A.4.4.) kann vorlie- gend hinsichtlich der Sachbeschädigungen nicht von einer Handlungseinheit aus- gegangen werden, weil die zeitliche Konnexität zwischen den einzelnen Fällen letztlich zu lose erscheint. Daran vermag auch die seitens der Vorinstanz ange- wandte Analogie des Vorsatzes des Beschuldigten, eine unbestimmte Anzahl an Sachbeschädigungen zu verüben, zu seinem Vorsatz zur gewerbsmässigen Er- langung von ihm nicht zustehenden Schadenszahlungen nichts zu ändern. Denn in casu mangelt es nicht am Erfordernis des einheitlichen Willensaktes, um das Vorliegen einer Handlungseinheit anzunehmen, sondern an demjenigen des ge- nügenden zeitlichen Zusammenhangs. Auch wenn die in Frage stehenden Delikte teilweise lediglich wenige Tage auseinander lagen, lässt sich eine Handlungsein- heit vor dem Hintergrund der massgebenden bundesgerichtlichen Rechtspre- chung nicht aufrecht erhalten, zumal laut der Anklage teilweise auch mehrere Wochen bis Monate nicht delinquiert worden sei. So wurde in BGE 131 IV 83 festgehalten, dass hinsichtlich des Vorliegens einer natürlichen Handlungseinheit ein Zeitraum von einem Monat bereits als länger anzusehen sei (E. 2.4.5). Dem- nach ist eine Handlungseinheit und damit auch das Vorliegen eines grossen Schadens im Sinne von Art. 144 Abs. 3 StGB zu verneinen.</w:t>
      </w:r>
    </w:p>
    <w:p>
      <w:r>
        <w:rPr>
          <w:b/>
        </w:rPr>
        <w:t>E. 5</w:t>
      </w:r>
    </w:p>
    <w:p>
      <w:r>
        <w:t>Erschienen sind zur Berufungsverhandlung der Beschuldigte in Begleitung seines amtlichen Verteidigers Rechtsanwalt lic. iur. X._____ sowie die Staatsan- wältin lic. iur. Leu (Prot. II S. 8). Anlässlich der Berufungsverhandlung erfolgte die persönliche Befragung des Beschuldigten, die Parteivertreter hielten ihre Partei- vorträge und der Verteidigung wurde das Schreiben der Staatsanwältin Leu vom 23. Mai 2013 samt E-Mail und Aktennotiz vom 23. August 2019 (Urk. 108-110) zur Einsicht vorgelegt (Prot. II S. 35). Nachdem die Verteidigung mitgeteilt hatte, dass sie sich nicht in der Lage sehe, zu den ihr vorgelegten Dokumenten (Urk. 108- 110) anlässlich der Berufungsverhandlung Stellung zu nehmen, und sie sich vor- behalte diesbezüglich ein Ausstandsbegehren zu prüfen, wurde ihr antragsge- mäss Frist bis Donnerstag, 29. Oktober 2020, angesetzt, um schriftlich zu diesen Dokumenten (Urk. 108-110) Stellung nehmen zu können (Prot. II S. 35 ff.).</w:t>
      </w:r>
    </w:p>
    <w:p>
      <w:r>
        <w:t>- 13 -</w:t>
      </w:r>
    </w:p>
    <w:p>
      <w:r>
        <w:rPr>
          <w:b/>
        </w:rPr>
        <w:t>E. 6</w:t>
      </w:r>
    </w:p>
    <w:p>
      <w:r>
        <w:t>Mit Eingabe vom 29. Oktober 2020 reichte die Verteidigung innert Frist ihre Stellungnahme ein und stellte ein Ausstandsbegehren gegen Oberrichter lic. iur. Wenker (Urk. 124). Das Ausstandsbegehren wurde mit Schreiben vom 30. Okto- ber 2020 zuständigkeitshalber an die I. Strafkammer des Obergerichtes des Kan- tons Zürich überwiesen, welche dieses mit Beschluss vom 25. Januar 2021 ab- gewiesen hat (Urk. 125). II.Prozessuales A. Verfolgungsverjährung 1. Art. 97 StGB legt die Fristen für die Verfolgungsverjährung von Verbrechen und Vergehen fest. Innert dieser Fristen hat ein erstinstanzliches Urteil zu erge- hen, widrigenfalls die Verfolgungsverjährung eintritt und das Strafverfahren als Folge dessen einzustellen wäre (Art. 319 Abs. 1 lit. d StPO; Art. 329 Abs. 4 StPO; BSK StGB-ZURBRÜGG, Art. 97 StGB N 1a). In Art. 97 Abs. 1 StGB werden die Ver- jährungsfristen bestimmt. Zu beachten ist, dass die zehnjährige Verjährungsfrist gemäss Art. 97 Abs. 1 lit. c StGB – im Gegensatz zu den übrigen unter Abs. 1 er- wähnten Fristen, welche bereits seit dem 1. Oktober 2002 gelten – erst per 1. Ja- nuar 2014 in Kraft gesetzt wurde und aufgrund des Rückwirkungsverbots nur für ab diesem Datum begangene Taten gilt. Deshalb beträgt die Verfolgungsfrist ge- mäss dem davor geltenden Recht hinsichtlich Taten, bei welchen die angedrohte Höchststrafe drei Jahre beträgt, lediglich sieben Jahre (vgl. BSK StGB-ZURBRÜGG, Art. 97 StGB N 10a m.w.H.). 2. Vorliegend wurden von der Anklagebehörde Ereignisse ab dem 7. Juli 2008 (ND 18) bis 27. April 2013 (ND 37) angeklagt. Seitens der Vorinstanz wurde zu- treffend festgehalten (Urk. 74 E. II. B.1.), dass vorliegend die Tatbestände der groben Verkehrsregelverletzung (Art. 90 Abs. 2 SVG), der einfachen Körperver- letzung (Art. 123 Ziff. 1 StGB) und der Sachbeschädigung (Art. 144 StGB; ausser unter Abs. 3 [grosser Schaden] fallende Sachverhalte) über eine angedrohte Höchststrafe von Freiheitsstrafe bis zu drei Jahren verfügen. Entsprechend tritt die Verfolgungsverjährung bezüglich dieser Delikte innert sieben Jahren nach</w:t>
      </w:r>
    </w:p>
    <w:p>
      <w:r>
        <w:t>- 14 - Tatbegehung ein, demgegenüber die Strafverfolgung von nicht gewerbsmässigem oder gewerbsmässigem Betrug gemäss Art. 146 Abs. 1 (und Abs. 2 StGB) erst innert 15 Jahren nach Tatbegehung verjährt (Art. 97 Abs. 1 lit. b StGB). 3. Bereits seitens der Staatsanwaltschaft wurde die Problematik der Verfol- gungsverjährung hinsichtlich der zwei ältesten Dossiers (ND 18 [7.7.2008] und ND 36 [8.4.2009]) erkannt und die entsprechenden Strafverfahren eingestellt (Urk. 34/5 S. 4), was im vorinstanzlichen Urteil zutreffend Erwähnung fand (Urk. 74 E. II.B.2.). Anlässlich der Berufungsverhandlung machte die Verteidigung hinsichtlich ND 36 geltend, dass es sich im Zusammenhang mit dem Nokia Mobil- telefon um einen geringfügigen Betrug und damit um eine Übertretung handle, welche längst verjährt sei, weshalb diesbezüglich auf die Anklage nicht einzutre- ten sei (Urk. 117 S. 18). Wie nachfolgend noch zu zeigen sein wird, handelte der Beschuldigte mit Wissen und Willen und damit vorsätzlich (nachstehend unter E. IV.C.2.6.). Der Vorsatz des Beschuldigten richtete sich auch beim Vorfall vom 27. April 2013 (ND 36) auf das Erlangen einer grossen Haftpflichtzahlung, da er mit seinem Vorgehen nicht nur auf eine Vermögensdisposition des Kollusions- partners respektive dessen Versicherers für das beschädigte Mobiltelefon, son- dern auch für sein beschädigtes Fahrzeug abzielte, was keiner geringfügigen Summe entspricht. Entsprechend handelt es sich um kein geringfügiges Vermö- gensdelikt und die Verjährung ist noch nicht eingetreten. Im Übrigen stellt sich die Frage der Verfolgungsverjährung vorliegend nicht. B. Anklagegrundsatz 1. Nach dem Anklagegrundsatz bestimmt die Anklageschrift den Gegenstand des Gerichtsverfahrens (Umgrenzungsfunktion; Art. 9 und Art. 325 StPO; Art. 29 Abs. 2 und Art. 32 Abs. 2 BV; Art. 6 Ziff. 1 und Ziff. 3 lit. a und b EMRK). Das Ge- richt ist an den in der Anklage wiedergegebenen Sachverhalt gebunden (Immuta- bilitätsprinzip), nicht aber an dessen rechtliche Würdigung durch die Anklagebe- hörde (Art. 350 StPO). Die Anklage hat die der beschuldigten Person zur Last ge- legten Delikte in ihrem Sachverhalt so präzise zu umschreiben, dass die Vorwürfe in objektiver und subjektiver Hinsicht genügend konkretisiert sind. Der Anklage- grundsatz bezweckt zugleich den Schutz der Verteidigungsrechte der beschuldig-</w:t>
      </w:r>
    </w:p>
    <w:p>
      <w:r>
        <w:t>- 15 - ten Person und dient dem Anspruch auf rechtliches Gehör (Informationsfunktion; BGE 141 IV 132 E. 3.4.1; 140 IV 188 E. 1.3; je mit Hinweisen). Unter dem Ge- sichtspunkt der Informationsfunktion muss die beschuldigte Person aus der An- klage ersehen können, wessen sie angeklagt ist. Dies bedingt eine zureichende Umschreibung der Tat. Entscheidend ist, dass die beschuldigte Person genau weiss, welcher konkreten Handlungen sie beschuldigt und wie ihr Verhalten recht- lich qualifiziert wird, damit sie sich in ihrer Verteidigung richtig vorbereiten kann. Sie darf nicht Gefahr laufen, erst an der Gerichtsverhandlung mit neuen Anschul- digungen konfrontiert zu werden (vgl. BGE 103 Ia 6 E. 1b; Urteile des Bundesge- richts 6B_492/2015 vom 2 Dezember 2015 E. 2.2, nicht publiziert in: BGE 141 IV 437 und 6B_1151/2015 vom 21. Dezember 2016 E. 2.2; je mit Hinweisen). Zu den gesetzlichen Merkmalen der strafbaren Handlung gehören, neben den Tatbe- standsmerkmalen, die Schuldform (sofern vorsätzliches und fahrlässiges Verhal- ten strafbar ist), die Teilnahmeform (Mittäterschaft, Anstiftung, Gehilfenschaft) sowie die Erscheinungsform (Versuch oder vollendetes Delikt) und allfällige Kon- kurrenzen. Die tatsächlichen Umstände der Tat – Zeit, Ort, Art der Begehung und Form der Mitwirkung, angestrebter oder verwirklichter Erfolg (einschliesslich Kau- salzusammenhang) – sind anzugeben und die einzelnen rechtlichen Elemente des Delikts hervorzuheben. Hinsichtlich der Vorsatzelemente genügt grundsätz- lich der Hinweis auf den gesetzlichen Straftatbestand im Anschluss an die Dar- stellung des Sachverhalts als zureichende Umschreibung der subjektiven Merk- male, wenn der betreffende Tatbestand nur vorsätzlich begangen werden kann (BGE 120 IV 348 E. 3c S. 355 f. mit Hinweis; Urteile des Bundesgerichts 6B_633/2015 vom 12. Januar 2016 E. 1.3 und 6B_873/2015 vom 20. April 2016 E. 1.3. m.w.H.). Solange für die beschuldigte Person klar ist, welcher Sachverhalt ihr vorgeworfen wird, kann auch eine fehlerhafte und unpräzise Anklage nicht da- zu führen, dass es zu keinem Schuldspruch kommen darf. Entscheidend ist, dass für die beschuldigte Person keine Zweifel darüber bestehen, welches Verhalten ihr vorgeworfen wird. Die nähere Begründung der Anklage erfolgt vor Schranken; es ist Sache des Gerichts, den Sachverhalt verbindlich festzustellen (Urteile des Bundesgerichts 6B_894/2016 vom 14. März 2017 E. 1.1.1 mit Hinweisen, 6B_18/2017 vom 17. Mai 2017 E. 1.2 und 6B_228/2017 vom 4. Juli 2017 E. 2.3).</w:t>
      </w:r>
    </w:p>
    <w:p>
      <w:r>
        <w:t>- 16 - 2. Seitens der Verteidigung wird – wie bereits vor Vorinstanz – vorgebracht, dass die Anklage in mehrfacher Hinsicht den Anklagegrundsatz verletze. So macht sie geltend, dass einzelne Betrugselemente – wer sich geirrt habe und wer letztlich eine Vermögensdisposition an wen ausgeführt habe – und die Gewerbs- mässigkeit des Betrugs (Urk. 63 S. 3 ff.; Prot. I S. 25; Urk. 117 S. 19 f.) unzu- reichend umschrieben worden seien. Zudem fehle es in der Anklage hinsichtlich der vorsätzlichen Körperverletzung an jeglicher Umschreibung, weshalb im Ein- zelfall eine Verwirklichung der Gefahr noch näher gewesen sein soll, als dies für die Erfüllung des Tatbestands von Art. 90 Ziff. 2 SVG ohnehin schon gefordert werde (Urk. 117 S. 20).</w:t>
      </w:r>
    </w:p>
    <w:p>
      <w:r>
        <w:rPr>
          <w:b/>
        </w:rPr>
        <w:t>E. 7</w:t>
      </w:r>
    </w:p>
    <w:p>
      <w:r>
        <w:t>Februar 2019 E. 3.3.2; BGE 136 IV 117 E. 4.3.1). Viele kleinere Schäden kön-</w:t>
      </w:r>
    </w:p>
    <w:p>
      <w:r>
        <w:t>- 21 - nen summiert einen grossen Schaden ausmachen (TRECHSEL/CRAMERI, in: TRECHSEL/PIETH [Hrsg.], Praxiskommentar StGB, 3. A. Zürich 2018, Art. 144 StGB N 10). Dies gilt jedenfalls dann, sofern eine natürliche Handlungseinheit vorliegt. Die Frage der Tateinheit ist bei Art. 144 Abs. 3 StGB nicht eigenständig, sondern nach den allgemeinen Regeln zu beantworten (BSK StGB-WEISSENBERGER, Art. 144 StGB N 104 ff.). Mehrere Einzelhandlungen sind rechtlich als Einheit an- zusehen, wenn sie auf einem einheitlichen Willensakt beruhen und wegen des engen räumlichen und zeitlichen Zusammenhangs bei objektiver Betrachtung noch als ein einheitliches zusammengehörendes Geschehen erscheinen (BGE 131 IV 83 E. 2.4.5.).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