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SB170254 vom 14. Juli 2017</w:t>
      </w:r>
    </w:p>
    <w:p>
      <w:r>
        <w:t>ZH Obergericht, 2017-07-14, DE</w:t>
      </w:r>
    </w:p>
    <w:p>
      <w:r>
        <w:rPr>
          <w:b/>
        </w:rPr>
        <w:t xml:space="preserve">Quelle: </w:t>
      </w:r>
      <w:r>
        <w:t>https://mcp.opencaselaw.ch/entscheid/zh_obergericht_SB170254</w:t>
      </w:r>
    </w:p>
    <w:p>
      <w:r>
        <w:t>FR: ZH_OBERGERICHT SB170254 du 14 juillet 2017</w:t>
      </w:r>
    </w:p>
    <w:p>
      <w:r>
        <w:t>IT: ZH_OBERGERICHT SB170254 del 14 luglio 2017</w:t>
      </w:r>
    </w:p>
    <w:p>
      <w:pPr>
        <w:pStyle w:val="Heading2"/>
      </w:pPr>
      <w:r>
        <w:t>Erwägungen</w:t>
      </w:r>
    </w:p>
    <w:p>
      <w:r>
        <w:rPr>
          <w:b/>
        </w:rPr>
        <w:t>E. 1</w:t>
      </w:r>
    </w:p>
    <w:p>
      <w:r>
        <w:t>Gegen das Urteil des Bezirksgerichts Winterthur vom 5. April 2017 (Urk. 35) meldete die Verteidigung des Beschuldigten mit Eingabe vom 5. April 2017 (Urk. 37) sowie die Staatsanwaltschaft Zürich-Limmat mit Eingabe vom 6. April 2017 (Urk. 39) Berufung an. Das begründete Urteil (Urk. 42) wurde der Verteidigung des Beschuldigten sowie der Staatsanwaltschaft Zürich-Limmat am 14. Juni 2017 zugestellt (Urk. 43). Innert der Frist von Art. 399 Abs. 3 StPO wurde aber weder von der Verteidigung noch von der Staatsanwaltschaft Zürich-Limmat eine Berufungserklärung eingereicht. Da die Einreichung einer Berufungs- erklärung praxisgemäss eine Gültigkeitsvoraussetzung darstellt und bei deren Nichteinreichung auf die Einholung von Stellungnahmen im Sinne von Art. 403 Abs. 2 StPO verzichtet werden kann (ZR 110/2011 Nr. 69), ist auf die Berufung gestützt auf Art. 403 Abs. 1 und Abs. 3 StPO nicht einzutreten.</w:t>
      </w:r>
    </w:p>
    <w:p>
      <w:r>
        <w:rPr>
          <w:b/>
        </w:rPr>
        <w:t>E. 2</w:t>
      </w:r>
    </w:p>
    <w:p>
      <w:r>
        <w:t>Im Rechtsmittelverfahren tragen die Parteien die Kosten nach Massgabe ihres Obsiegens oder Unterliegens. Das Nichteintreten auf das Rechtsmittel des Beschuldigten kommt einem Unterliegen gleich (Art. 428 Abs. 1 StPO), weshalb die Kosten des Berufungsverfahrens an sich zur Hälfte dem Beschuldigten aufzuerlegen sowie zur Hälfte auf die Gerichtskasse zu nehmen wären. Weil aber dem Beschuldigen im erstinstanzlichen Verfahren aufgrund seiner Schuldunfähigkeit keine Gerichtskosten auferlegt wurden (vgl. Urk. 46 S. 27), rechtfertigt es sich, vorliegend sämtliche Kosten des Berufungsverfahren auf die Gerichtskasse zu nehmen. Aufwendungen der amtlichen Verteidigung im Berufungsverfahren sind schliesslich keine ersichtlich, weshalb keine Entschädigungen zuzusprechen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