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SB170198 vom 13. November 2017</w:t>
      </w:r>
    </w:p>
    <w:p>
      <w:r>
        <w:t>ZH Obergericht, 2017-11-13, DE</w:t>
      </w:r>
    </w:p>
    <w:p>
      <w:r>
        <w:rPr>
          <w:b/>
        </w:rPr>
        <w:t xml:space="preserve">Quelle: </w:t>
      </w:r>
      <w:r>
        <w:t>https://mcp.opencaselaw.ch/entscheid/zh_obergericht_SB170198</w:t>
      </w:r>
    </w:p>
    <w:p>
      <w:r>
        <w:t>FR: ZH_OBERGERICHT SB170198 du 13 novembre 2017</w:t>
      </w:r>
    </w:p>
    <w:p>
      <w:r>
        <w:t>IT: ZH_OBERGERICHT SB170198 del 13 novembre 2017</w:t>
      </w:r>
    </w:p>
    <w:p>
      <w:pPr>
        <w:pStyle w:val="Heading2"/>
      </w:pPr>
      <w:r>
        <w:t>Erwägungen</w:t>
      </w:r>
    </w:p>
    <w:p>
      <w:r>
        <w:rPr>
          <w:b/>
        </w:rPr>
        <w:t>E. 3</w:t>
      </w:r>
    </w:p>
    <w:p>
      <w:r>
        <w:t>Was die Massnahmefähigkeit betrifft, ist dem psychiatrischen Gutachten zu entnehmen, dass für die zukünftige psychiatrische Behandlung mit langen Be- handlungszeiträumen zu rechnen sei. Der insgesamt als positiv zu bewertende Aufenthalt in der Klinik Rheinau sei ein Hinweis dafür, dass eine auf langfristige Rehabilitation ausgelegte Behandlung den Beschuldigten angemessen stabilisie- ren könne. Dabei müssten die drei prognoserelevanten Problembereiche, psycho- tische Störung mit schwieriger Behandlungsadhärenz, Substanzmissbrauch sowie die fortschreitende soziale Desintegration angegangen und therapeutisch beein- flusst werden. Dies könne nur in stationärem Setting erfolgen (Urk. 1/12/19 S. 36). Aus dem aktuellen Zwischenbericht der Klinik Rheinau ergibt sich, dass sich der bisherige Aufenthalt des Beschuldigten schwierig gestaltete (Urk. 88). An gewis- sen Tagen sei er motorisch angetrieben gewesen und habe stellenweise auch Anspannung und Gereiztheit, vereinzelt auch bedrohlich verbal-aggressives Ver- halten gezeigt. An anderen Tagen sei er durch Teilnahmslosigkeit, Gleichgültig- keit und starren Blicken ins Leere bzw. innerer Versunkenheit aufgefallen. Insbe- sondere anstehende Gerichtstermine seien eine grosse psychische Belastung für ihn. Während einerseits eine gute Medikamentencompliance bestand und auch zahlreiche Medikamente ausprobiert werden konnten, insbesondere gegen die Angespanntheit, die depressiven Verstimmungen und die Schlafprobleme, sei ei- ne Gesprächstherapie praktisch nicht möglich gewesen. Einerseits sei der Be- schuldigte sehr wortkarg und einsilbig gewesen, wobei er sich nie auf Gespräche über die vorgeworfenen Delikte eingelassen habe. Andererseits habe er Thera- pieangebote konsequent abgelehnt. Beim Beschuldigten sei eine mangelnde Selbstreflektion hinsichtlich der Anlasstaten ebenso festzustellen wie eine verfes-</w:t>
      </w:r>
    </w:p>
    <w:p>
      <w:r>
        <w:t>- 11 - tigte Krankheitsuneinsichtigkeit. Er verharre in einer nicht näher konkretisierbaren Angst betreffend seiner Zukunftsperspektiven und einer kaum überwindbaren Passivität. Die zu früheren Zeiten immer wieder aufgekommene Bereitschaft zu verbalen Drohungen oder auch Tätlichkeiten im Sinne einer Enthemmung mit mangelhafter Impulskontrolle und Steuerungsfähigkeit sei im bestehenden Behandlungssetting deutlich in den Hintergrund getreten. Aggressive Verhaltensweisen werden als ausgesprochen situations- und personenspezifisch beurteilt. In einer Gesamtbetrachtung kommen die Ärzte der Psychiatrischen Universitäts- klinik zum Schluss, dass beim Beschuldigten eine lediglich geringe Massnahme- fähigkeit bei sehr fraglicher Massnahmebereitsschaft vorliege. Ein weiterer Voll- zug im bestehenden Setting nach der fast einjährigen Behandlungsdauer lasse kaum Aussicht auf Erfolg erwarten. Dagegen könnten in einem anderen, freieren Behandlungskontext, d.h. auf einer geschlossenen Massnahmestation mit ande- ren, erweiterten Therapieangeboten und der Möglichkeit von Lockerungs- erprobungen, durchaus noch positive Entwicklungen in Gang kommen. Vorstell- bar sei eine den Bedürfnissen und Möglichkeiten des Beschuldigten angepasstes Lebensumfeld ohne permanente Überforderung und Konfrontation sowie unter fortgesetzter medikamentöser Behandlung, beispielsweise im Rahmen einer ge- schlossenen Unterbringung mit suffizienter anleitend-begleitender Betreuung und niederschwelligen beschäftigungs-therapeutischen Angeboten. Aus forensisch-psychiatrischer Sicht wird der einstweilige weitere Vollzug der Massnahme empfohlen mit der Perspektive einer möglichst baldigen Versetzung auf eine geschlossene Massnahmestation. Der Zwischenbericht der Klinik Rheinau zeichnet hinsichtlich der Massnahme- fähigkeit damit ein ambivalentes Bild. Gemäss Auskunft der zuständigen Ärzte scheint das Therapieangebot, insbesondere die therapeutischen Einzelgesprä- che, den Beschuldigen nicht wirklich zu erreichen und fassbare Veränderungen sind in diesem Bereich auch nach fast einjährigem Aufenthalt in der Klinik Rhein- au nicht erkennbar. In dieser Hinsicht kann von einer gewissen Therapieresistenz</w:t>
      </w:r>
    </w:p>
    <w:p>
      <w:r>
        <w:t>- 12 - gesprochen werden, zumal eine Weiterentwicklung bei bestehendem Setting nicht zu erwarten ist. Andererseits konnte die Medikamentencompliance aber offenbar problemlos aufrechterhalten werden und hat im Zusammenhang mit der fehlen- den Impulskontrolle und dem bedrohlich-aggressiven Verhalten des Beschuldig- ten zu einer durchaus positiven Entwicklung geführt. Der bisherige Massnahmen- verlauf zeigt damit zumindest Ansätze für eine nachhaltige Besserung und rück- blickend lässt sich festhalten, dass die Anordnung der stationären Massnahme im Zeitpunkt des Entscheids der Vorinstanz mit Blick auf die Massnahmefähigkeit durchaus angezeigt war. Hinsichtlich der weiteren Entwicklung und Verbesserun- gen des psychischen Zustands des Beschuldigten erscheint die Massnahme- fähigkeit im derzeitigen Setting allerdings äusserst fraglich.</w:t>
      </w:r>
    </w:p>
    <w:p>
      <w:r>
        <w:rPr>
          <w:b/>
        </w:rPr>
        <w:t>E. 4</w:t>
      </w:r>
    </w:p>
    <w:p>
      <w:r>
        <w:t>Da die Anordnung einer stationären therapeutische Massnahme in die ver- fassungsmässig garantierten Grundrechte des Massnahmeunterworfenen ein- greift, hat sie stets auch dem Gebot der Verhältnismässigkeit zu entsprechen (Art. 36 Abs. 2 und 3 BV). Dieser Grundsatz wird im StGB konkretisiert. Art. 56 Abs. 2 StGB besagt, dass der mit einer Massnahme verbundene Eingriff in die Persönlichkeitsrechte des Täters im Hinblick auf die Wahrscheinlichkeit und Schwere weiterer Straftaten nicht unverhältnismässig sein darf. Der Verhältnis- mässigkeitsgrundsatz verlangt, dass die Sicherheitsbelange der Allgemeinheit und der Freiheitsanspruch des Betroffenen als wechselseitiges Korrektiv gesehen und im Einzelfall gegeneinander abgewogen werden (Urteil 6B_109/2013 vom 19. Juli 2013 E. 4.4 mit Hinweisen; vgl. auch: Urteil 6B_596/2011 vom 19. Januar 2012 E. 3.2 mit Hinweisen; zur Verlängerung nach Art. 59 Abs. 4 StGB: BGE 135 IV 139 E. 2.4 S. 143f.; siehe ferner: BGE 136 IV 156 E. 3.2 S. 161f.; HEER, a.a.O., N. 128 zu Art. 59 StGB; Urteil des Bundesgerichts 6B_640/2015 vom 25. Februar 2016 E. 5.4.). Die Anlasstat ist bei der Beurteilung der Angemessenheit einer strafrechtlichen Massnahme nicht ausser Acht zu lassen. Nach dem Wortlaut von Art. 59 StGB reicht hierfür zwar jedes Verbrechen oder Vergehen aus. Nur Übertretungen ver- mögen eine Einweisung in eine Klinik oder eine Massnahmevollzugseinrichtung von vorneherein nicht zu rechtfertigen. Indessen darf dem Täter in der Regel kei-</w:t>
      </w:r>
    </w:p>
    <w:p>
      <w:r>
        <w:t>- 13 - ne grössere Gefährlichkeit attestiert werden, als in der Anlasstat zum Ausdruck kommt (BGE 127 IV 1 E. 2c/cc). Steht die Schwere des mit der Massnahme ver- bundenen Freiheitsverlusts des Betroffenen in einem Missverhältnis zum Gewicht des begangenen Delikts, sollte auf die Sanktionsanordnung grundsätzlich verzich- tet werden (vgl. Urteil 6S.69/2006 vom 29. Mai 2006 E. 3.3). Grundlage für die Anordnung einer Massnahme ist damit die Sozialgefährlichkeit des Täters, die sich einerseits in der Anlasstat manifestiert hat und andererseits weitere Straf- taten von einigem Gewicht befürchten lässt (Urteil des Bundesgerichts 6B_596/2011 vom 19. Januar 2012 E. 3.2.5.ff.). Bei den vom Beschuldigten begangenen Delikten handelt es sich zum einen um eine Tätlichkeit im Sinne von Art. 126 Abs. 1 StGB und damit um eine Über- tretung, welche die Anordnung einer stationären Massnahme von vornherein nicht zulässt. Zum anderen hat sich der Beschuldigte der mehrfachen Drohung gegen Beamte im Sinne von Art. 285 Ziff. 1 StGB und mithin eines Vergehens schuldig gemacht. Das strafbare Verhalten des Beschuldigten bestand darin, dass er als aufgrund einer fürsorgerischen Unterbringung in der Clienia Schlössli Unterge- brachter zu zwei Psychiatriepflegern gesagt hat " Löhnt sie mich jetzt use, das isch doch bescheuert mich nid use zloh, das ganze sind Scheiss-Regelige, dass ich nid use darf. Do inne mach ich ihne nüt, aber wenn mir üs dusse begägne, denn wärdet sis denn erläbe!" Wenngleich diese Äusserung nicht zu verharmlo- sen ist, handelt es sich im Bereich des jeweils Möglichen doch nicht um eine allzu schwere und sehr vage gehaltene Drohung. Angesichts der von der Vorinstanz rechtskräftig ausgesprochenen Strafe von 4 Monaten kann gar von einem Delikt an der Grenze zum Bagatellfall gesprochen werden. Isoliert betrachtet vermag diese Tat keinen langfristigen Eingriff in die persönliche Freiheit des Beschuldig- ten zu rechtfertigen. Auch eine Gesamtbetrachtung des Verhaltens und der Vorgeschichte des Be- schuldigten führt zu keiner anderen Einschätzung. Der Beschuldigte ist in der Vergangenheit zwar bereits mehrfach strafrechtlich in Erscheinung getreten. Im aktuellen Strafregisterauszug findet seine bisherige Delinquenz aber keinen Nie- derschlag (Urk. 70). In den Jahren 2002 bis 2005 wurden ihm in verschiedenen</w:t>
      </w:r>
    </w:p>
    <w:p>
      <w:r>
        <w:t>- 14 - wegen Sachbeschädigung, Diebstahls und Hausfriedensbruchs geführten Ju- gendstrafverfahren mehrere Verweise erteilt. Ein wegen Hausfriedensbruchs und Körperverletzung geführtes Jugendstrafverfahren wurde zufolge Rückzugs des Strafantrags eingestellt (vgl. Beizugsakten der Jugendanwaltschaft See/Ober- land). Das Statthalteramt des Bezirks Hinwils bestrafte ihn sodann wegen gering- fügigen Diebstahls, mehrfachen Benützens der öffentlichen Verkehrsmittel ohne gültigen Fahrausweis sowie wegen einer Tätlichkeit verschiedentlich mit Bussen (vgl. Beizugsakten des Statthalteramts Hinwil). Auch in diesen Delikten offenbart sich jedoch keine Sozialgefährlichkeit, welche die Anordnung einer stationären Massnahme rechtfertigen würde. Was die Kriminalprognose gemäss psychiatri- schem Gutachten betrifft, sind beim Beschuldigten in akut psychotischem Zustand oder in Phasen der Rekonvaleszenz schliesslich einerseits Tätlichkeiten oder er- neute Drohungs- und Nötigungsdelikte zu erwarten, wobei der Beschuldigte auch dazu neige, Impulsen zu geringfügigeren Straftaten nachzugeben (Urk. 1/12/19 S. 38). Mit den psychischen Erkrankungen des Beschuldigten geht damit stets ei- ne gewisse Unberechenbarkeit hinsichtlich seines künftigen Verhaltens und all- fälliger eher geringfügiger Delinquenz einher. Hinreichend konkrete Anhaltspunkte dafür, dass künftig mit hoher Wahrscheinlichkeit von der Begehung von Delikten auszugehen ist, die die öffentliche Sicherheit deutlich stärker gefährden würden, als die bisher vom Beschuldigten begangenen, sind aber nicht festzustellen.</w:t>
      </w:r>
    </w:p>
    <w:p>
      <w:r>
        <w:rPr>
          <w:b/>
        </w:rPr>
        <w:t>E. 5</w:t>
      </w:r>
    </w:p>
    <w:p>
      <w:r>
        <w:t>Insgesamt lässt sich damit festhalten, dass der Beschuldigte aufgrund seiner psychischen Störungen zweifellos einer (vorerst wohl weiterhin stationären) Behandlung bedarf. Die vorzeitig angetretene stationäre Massnahme hat bisher insofern Wirkung gezeigt, als der Beschuldigte die notwendigen Medikamente re- gelmässig einnimmt und es im Zusammenhang mit seiner mangelnden Impuls- kontrolle zu einer positiven Entwicklung gekommen ist. Eine weitere Entwicklung ist in absehbarer Zeit im Rahmen des derzeitigen Massnahmesettings aufgrund der Ablehnung von Therapieangeboten, mangelnder Selbstreflektion und verfes- tigter Krankheitsuneinsichtigkeit aber nicht zu erwarten. Nicht zuletzt angesichts der langjährigen Krankheitsgeschichte des Beschuldigten, in deren Verlauf es kaum je zu deutlichen Verbesserungen seines Zustands gekommen ist, kann mit merklichen Veränderungen, wenn überhaupt, wohl erst nach einer mehrjährigen</w:t>
      </w:r>
    </w:p>
    <w:p>
      <w:r>
        <w:t>- 15 - Therapie gerechnet werden. Eine Fortsetzung der stationären Massnahme für derart lange Zeit erscheint angesichts der bisher begangenen Delikte und der le- diglich geringen offenbarten Sozialgefährlichkeit aber klar unverhältnismässig. Von der Anordnung einer stationären Massnahme ist aufgrund des Gesagten ab- zusehen. Es ist zwar mit der Vorinstanz und der Beiständin des Beschuldigten nicht von der Hand zu weisen, dass eine nahe Gefahr besteht, dass der Beschul- digte bei einer sofortigen Entlassung aus der Massnahme ohne geeignete An- schlusslösung die Medikation absetzt und es in Bezug auf seine Gesundheit und seine Lebenssituation zu einer Verschlechterung des Zustands kommt. Diesen Gefahren im Rahmen einer geeigneten Unterbringung Rechnung zu tragen, nicht zuletzt zum Schutz des Beschuldigten selbst, ist zufolge Fehlens der Vorausset- zungen für eine stationäre Massnahme aber weder Zweck noch Aufgabe des Strafrechts. Es ist in diesem Zusammenhang zu betonen, dass die Voraussetzun- gen für die Anordnung von Massnahmen des Erwachsenenschutzrechts nicht identisch mit jenen einer strafrechtlichen stationären Massnahme sind. So ist vor- liegend trotz unbestrittenermassen bestehender Behandlungsbedürftigkeit des Beschuldigten zwar nicht von einer derart schweren Gefährdung der öffentlichen Sicherheit auszugehen, dass die Fortsetzung der stationären Massnahme an- gezeigt wäre. Aus diesem Umstand kann aber nicht automatisch geschlossen werden, dass keine für die Anordnung einer fürsorgerischen Unterbringung er- forderliche Selbst- oder Fremdgefährdung des Beschuldigten vorliegt, wie die Beiständin in ihrem E-Mail vom 10. November 2017 zumindest sinngemäss vor- bringt (Urk. 107). Die Prüfung der Voraussetzungen für eine fürsorgerische Unter- bringung bleibt den zuständigen Behörden des Erwachsenenschutzrechts vor- behalten, wobei der Entscheid grundsätzlich unabhängig von jenem des Straf- gerichts zu fällen ist. Als strafrechtliche Massnahme im Sinne von Art. 59 StGB hat die weitere Behandlung des Beschuldigten jedenfalls nicht zu erfolgen. V. Kosten- und Entschädigungsfolgen 1. Bei diesem Ausgang des Verfahrens fällt die Gerichtsgebühr für das Beru- fungsverfahren ausser Ansatz.</w:t>
      </w:r>
    </w:p>
    <w:p>
      <w:r>
        <w:t>- 16 - 2. Die Kosten dieses Verfahrens, inklusive Kosten der amtlichen Verteidigung sind auf die Gerichtskasse zu nehmen. Der amtliche Verteidiger ist für seine aus- gewiesenen Aufwendungen gemäss Honorarnote mit Fr. 4'826.60 aus der Ge- richtskasse zu entschädigen. 3. Eine Entschädigung des Beschuldigten für Überhaft wurde seitens des Ver- teidigers zurecht nicht beantragt. Zwar überschreitet die vom Beschuldigten vom 4. März 2016 bis 24. November 2016 erstandene Haft die ausgefällten 4 Monate Freiheitsstrafe um 145 Tage. Wie in den vorstehenden Erwägungen dargelegt, waren Anordnung und bisheriger Vollzug der stationären Massnahme aber recht- mässig. Die erstandene Untersuchungshaft ist daher an die vorzeitig angetretene stationäre Massnahme anzurechnen und dem Beschuldigten ist dafür keine Ent- 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