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SB170197 vom 13. Juni 2017</w:t>
      </w:r>
    </w:p>
    <w:p>
      <w:r>
        <w:t>ZH Obergericht, 2017-06-13, DE</w:t>
      </w:r>
    </w:p>
    <w:p>
      <w:r>
        <w:rPr>
          <w:b/>
        </w:rPr>
        <w:t xml:space="preserve">Quelle: </w:t>
      </w:r>
      <w:r>
        <w:t>https://mcp.opencaselaw.ch/entscheid/zh_obergericht_SB170197</w:t>
      </w:r>
    </w:p>
    <w:p>
      <w:r>
        <w:t>FR: ZH_OBERGERICHT SB170197 du 13 juin 2017</w:t>
      </w:r>
    </w:p>
    <w:p>
      <w:r>
        <w:t>IT: ZH_OBERGERICHT SB170197 del 13 giugno 2017</w:t>
      </w:r>
    </w:p>
    <w:p>
      <w:pPr>
        <w:pStyle w:val="Heading2"/>
      </w:pPr>
      <w:r>
        <w:t>Erwägungen</w:t>
      </w:r>
    </w:p>
    <w:p>
      <w:r>
        <w:rPr>
          <w:b/>
        </w:rPr>
        <w:t>E. 1</w:t>
      </w:r>
    </w:p>
    <w:p>
      <w:r>
        <w:t>Gegen das Urteil des Bezirksgerichts Zürich, 7. Abteilung - Einzelgericht, vom 10. März 2017 liess der Beschuldigte zwar fristgerecht Berufung anmelden (Urk. 45), innert der Frist von Art. 399 Abs. 3 StPO hat er aber keine Berufungser- klärung eingereicht (vgl. Urk. 49/2). Deshalb ist auf die Berufung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Dem Beschuldigten sind somit die Kosten für das Berufungsverfahren aufzuerlegen. Die Gerichtsgebühr ist auf Fr. 600.– festzusetzen. Dem amtlichen Verteidiger des Beschuldigten ist mangels erheblicher Umtriebe im Berufungsverfahren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