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SB170153 vom 7. September 2017</w:t>
      </w:r>
    </w:p>
    <w:p>
      <w:r>
        <w:t>ZH Obergericht, 2017-09-07, DE</w:t>
      </w:r>
    </w:p>
    <w:p>
      <w:r>
        <w:rPr>
          <w:b/>
        </w:rPr>
        <w:t xml:space="preserve">Quelle: </w:t>
      </w:r>
      <w:r>
        <w:t>https://mcp.opencaselaw.ch/entscheid/zh_obergericht_SB170153</w:t>
      </w:r>
    </w:p>
    <w:p>
      <w:r>
        <w:t>FR: ZH_OBERGERICHT SB170153 du 7 septembre 2017</w:t>
      </w:r>
    </w:p>
    <w:p>
      <w:r>
        <w:t>IT: ZH_OBERGERICHT SB170153 del 7 settembre 2017</w:t>
      </w:r>
    </w:p>
    <w:p>
      <w:pPr>
        <w:pStyle w:val="Heading2"/>
      </w:pPr>
      <w:r>
        <w:t>Erwägungen</w:t>
      </w:r>
    </w:p>
    <w:p>
      <w:r>
        <w:rPr>
          <w:b/>
        </w:rPr>
        <w:t>E. 1</w:t>
      </w:r>
    </w:p>
    <w:p>
      <w:r>
        <w:t>Mit dem eingangs im Dispositiv wiedergegebenen Urteil des Bezirksgerichts Affoltern vom 10. November 2016 wurde der Beschuldigte A._____ anklagege- mäss der groben Verletzung der Verkehrsregeln schuldig gesprochen und mit ei- ner bedingten Geldstrafe und Busse bestraft (Urk. 35 S. 22). Nach mündlicher Er- öffnung (Prot. I S. 5) liess der Beschuldigten gegen diesen Entscheid innert ge- setzlicher Frist Berufung anmelden (Art. 399 Abs. 1 StPO; Urk. 28). Auch die Be- rufungserklärung der Verteidigung, mit welcher das erstinstanzliche Urteil vollum- fänglich angefochten wird, ging innert gesetzlicher Frist am 29. März 2017 ein (Art. 399 Abs. 3 StPO; Urk. 36). Mit Eingabe vom 2. Mai 2017 teilte die Anklage- behörde innert Frist mit, dass Bestätigung des vorinstanzlichen Urteils beantragt und damit auf Anschlussberufung verzichtet werde (Urk. 41). Demnach ist das vo-</w:t>
      </w:r>
    </w:p>
    <w:p>
      <w:r>
        <w:t>- 4 - rinstanzliche Urteil in keinem Punkt in Rechtskraft erwachsen (vgl. Art. 404 StPO). Beweisergänzungsanträge wurden im Berufungsverfahren keine gestellt (Art. 389 Abs. 3 StPO). Mit Eingabe vom 4. Mai 2017 reichte die Verteidigung diverse Un- terlagen zu den finanziellen Verhältnissen des Beschuldigten ein (Urk. 43-45). Am 28. August 2017 ging schliesslich eine Eingabe der Verteidigung ein, mit welcher die Plädoyernotizen vorgängig eingereicht wurden (Urk. 48; Urk. 50).</w:t>
      </w:r>
    </w:p>
    <w:p>
      <w:r>
        <w:rPr>
          <w:b/>
        </w:rPr>
        <w:t>E. 2</w:t>
      </w:r>
    </w:p>
    <w:p>
      <w:r>
        <w:t>a) Der Beschuldigte anerkennt die gemessene Überschreitung der am Tatort signalisierten Höchstgeschwindigkeit um mindestens 27 km/h (Urk. 23 S. 3 f.; Urk. 52 S. 5). Sodann sind auch die örtlichen Verhältnisse hinreichend dokumen- tiert und nicht grundsätzlich bestritten (Urk. 2/2-4; Urk. 8/3-10; Urk. 25/2-3; Urk. 52 S. 7 f.). b) Der Beschuldigte anerkennt weiter den Vorwurf, das Strassensignal zur Be- grenzung der Höchstgeschwindigkeit wie auch das Ortsschild "C._____" nicht ge- sehen zu haben. Dabei machte er vor Vorinstanz allerdings geltend, es sei denk- bar, dass die beiden Signal-Tafeln in jenem Moment nicht sichtbar gewesen sein könnten, weil möglicherweise ein landwirtschaftliches Fahrzeug wie ein Traktor, Heuballen oder der Bauer mit einem Rechen davor gestanden haben könnten (Urk. 8/1 S. 2; Urk. 8/2 S. 1; Urk. 23 S. 4). Die Vorinstanz hat sich dazu um- fassend und grundsätzlich zutreffend geäussert, weshalb auf ihre Erwägungen verwiesen werden kann (Urk. 35 S. 10 f.; Art. 82 Abs. 4 StPO). Insbesondere er- wähnte der Beschuldigte in seiner ersten Befragung ein solches Hindernis noch mit keinem Wort, sondern lediglich, dass er die Signalisation übersehen habe, weil er kurzzeitig nach links geblickt habe (Urk. 3/3 S. 2), was die Vorinstanz zu</w:t>
      </w:r>
    </w:p>
    <w:p>
      <w:r>
        <w:t>- 7 - Recht als nicht überzeugend verwarf. Dass ein Bauer mit seinem Rechen direkt beim Verkehrsschild und damit derart nahe am Strassenrand stehen bleiben soll- te, scheint nicht plausibel. Und ein grösseres, so nah am Strassenrand liegendes Hindernis hätte der Beschuldigte – mit der Vorinstanz (Urk. 35 S. 10) – erst recht als Gefahrenquelle wahrnehmen müssen. Anhaltspunkte dafür, dass es so war, gibt es nicht. Die Vorinstanz ging davon aus, dass es sich bei der Schilderung des Beschuldigten um eine Schutzbehauptung handelt, welche er erst nach Einholen von rechtlichem Rat vorbrachte (Urk. 35 S. 11). Dieser Eindruck wird – nebenbei bemerkt – dadurch verstärkt, dass der nämliche Verteidiger in einem praktisch identischen Fall, welcher von der erkennenden Kammer vor einigen Monaten zu beurteilen war (SB170058), ebenfalls vorbrachte, die relevante Signalisation sei möglicherweise durch einen Lastwagen oder ein landwirtschaftliches Gefährt ver- deckt gewesen. Zu Recht rügt die Verteidigung, dass die Vorinstanz ihre Ein- schätzung (auch) auf Erwägungen im Polizeirapport stützte (Urk. 35 S. 11), wel- cher nicht zu Lasten des Beschuldigten verwertbar ist (Urk. 50 S. 6 f.). Die Mut- massungen des Beschuldigten hinsichtlich Sichtbarkeit der Signalisation über- zeugen indes – wie erwähnt – auch sonst nicht. Ebenso wenig vermag ihn seine Mutmassung, wonach sein Integralhelm und die darunter getragene Brille seine periphere Sicht eingeschränkt haben könnten (Urk. 3/3 S. 2, Urk. 8/1 S. 6, Urk. 23. S. 5; Urk. 52 S. 4), zu entlasten: Im Gegenteil muss sich ein Motorrad- fahrer selbstverständlich so ausrüsten, dass er – insbesondere dermassen gut sichtbare – Verkehrsschilder jederzeit wahrnehmen kann, ansonsten er ebenfalls grobfahrlässig handeln würde. Dasselbe gilt für die Argumentation der Verteidi- gung, wonach der Beschuldigte möglicherweise während 5-7 Sekunden statische Objekte am Strassenrand nicht scharf hätte erkennen können (Urk. 50 S. 8 f.). Wer seine Aufmerksamkeit derart lange nicht dem Verkehr widmen kann, würde sich zweifellos ebenfalls grobfahrlässig verhalten. Der von der Verteidigung zitier- te, 15 Jahre alte Bundesgerichtsentscheid Nr. 6 S. 11/2002 ist nicht mit dem vor- liegenden Fall vergleichbar, denn dort ging es um eine Vortrittsverweigerung. Zu- dem wurde auch dort klar festgehalten: "… jeder Verkehrsteilnehmer ist verpflichtet, nicht nur seine Fahrspur, sondern das gesamte Verkehrsgeschehen im Umkreis des Fahrzeuges aufmerksam zu ver- folgen". Dies tat der Beschuldigte gerade nicht.</w:t>
      </w:r>
    </w:p>
    <w:p>
      <w:r>
        <w:t>- 8 - c) Damit ist erstellt, dass der Beschuldigte die bereits von Weitem und sehr gut erkennbare Signalisation (vgl. u.a. Urk. 8/10) nicht gesehen hat, weil er zu wenig aufmerksam war. Eine andere plausible Erklärung dafür gibt es nicht. Die Be- hauptung der Verteidigung, das Schild sei nicht bereits von Weitem sichtbar, weil es sich nicht von der weissen Hauswand abhebe (Urk. 50 S. 9), was der Beschul- digte auch anlässlich der Berufungsverhandlung erneut vorbringt (Urk. 52 S. 6), überzeugt angesichts der in den Akten liegenden Fotodokumentation in keiner Weise.</w:t>
      </w:r>
    </w:p>
    <w:p>
      <w:r>
        <w:rPr>
          <w:b/>
        </w:rPr>
        <w:t>E. 3</w:t>
      </w:r>
    </w:p>
    <w:p>
      <w:r>
        <w:t>Somit ist im folgenden Fall zu prüfen, ob solche besondere Umstände vorla- gen, resp. ob der Beschuldigte aus nachvollziehbaren Gründen annehmen durfte, er befinde sich auf einer Ausserortsstrecke. Dazu kann zunächst auf die zu- treffenden Ausführungen der Vorinstanz verwiesen werden (Urk. 35 S. 11 ff.). Die von der Verteidigung in der Untersuchung eingereichten Einstellungsverfügungen in anderen Fällen sind unbehelflich (Urk. 8/1 S. 11): Der Beschuldigte befand sich – auch gestützt auf seine eigenen Angaben an der Berfungsverhandlung (Urk. 52 S. 4) – weder in irgendeiner Zwangslage, die ihn zu Hast getrieben hätte (wie in Urk. 8/2), noch waren die Verhältnisse am Tatort "gerade und übersichtlich ohne Häuser oder Einfahrten oder weitere Fahrzeuge" (wie in Urk. 8/1). Vielmehr hat die Vorinstanz ausführlich und richtig dargelegt, dass die vom Beschuldigten mit 77 km/h befahrene Strecke unübersichtlich und durch Elemente geprägt war, die für einen Innerortsbereich charakteristisch sind, so wie etwa Häuser und sogar Hauseingänge von Wohnhäusern direkt an der Strasse, Parkplätze mit parkierten Autos direkt an der Strasse etc. (Urk. 35 S. 13; Art. 82 Abs. 4 StPO). Unter diesen Umständen musste der Beschuldigte ohne weiteres auch mit Fussgängern oder wegfahrenden Fahrzeugen rechnen. Dies genügt für die Annahme einer abstrak- ten Gefährdung im Sinne der Anklage. Richtig ist auch, wenn die Vorinstanz aus- führte, dass zu einem Ort nicht nur der Ortskern – mit Läden, Kirchen, Schulen etc. – gehört, sondern auch die Ausläufer eines Dorfes, wie im vorliegenden Fall (Urk. 35 S. 15). Und selbst wenn Verkehrsspiegel – entgegen der Ansicht der Vor- instanz (a.a.O.) – nicht ausschliesslich im Innerortsbereich stehen sollten (vgl. Verteidigung in Urk. 24 S. 6; Urk. 21 S. 1; Urk. 22/1 S. 3; Urk. 50 S. 11), so sind sie zweifellos stets an unübersichtlichen Stellen angebracht. Wie auf den in</w:t>
      </w:r>
    </w:p>
    <w:p>
      <w:r>
        <w:t>- 11 - den Akten liegenden Bildern zu sehen ist, war für den Beschuldigten schon von Weitem erkennbar, dass er sich einem Streckenabschnitt näherte, der beidseits der Strasse Wohnhäuser und eine leichte Linkskurve aufweist. Sodann musste er auch bereits vor der Messstelle die Parkplätze sowie die Abzweigung mit Ver- kehrsspiegel wahrgenommen haben (Urk. 2/2 S. 1; Urk. 8/10). Es liegen daher keine besonderen Umstände vor, die das Verhalten des Beschuldigten in einem milderen Licht erscheinen liessen. Vielmehr ist – entgegen der Ansicht der Vertei- digung (Urk. 14 S. 12) – gerade nicht nachvollziehbar, wie er bei diesen örtlichen Begebenheiten mit unverminderter Geschwindigkeit die Messstelle passierte, ins- besondere nachdem durch das weisse Gebäude rechts schon von Weitem rein visuell der Eindruck einer engen, unübersichtlichen Passage entsteht (Urk. 8/10 S. 1-2).</w:t>
      </w:r>
    </w:p>
    <w:p>
      <w:r>
        <w:rPr>
          <w:b/>
        </w:rPr>
        <w:t>E. 4</w:t>
      </w:r>
    </w:p>
    <w:p>
      <w:r>
        <w:t>Zu keinem anderen Resultat würde die Annahme eines Sachverhaltsirrtums des Beschuldigten über die Eigenschaft der Örtlichkeit führen: Hätte der Täter den Irrtum bei pflichtgemässer Vorsicht vermeiden können, so ist er wegen Fahr- lässigkeit strafbar (Art. 13 Abs. 2 StGB). Bei pflichtgemässer Vorsicht hätte der Beschuldigte nicht nur bereits die massgeblichen Schilder wahrnehmen müssen, er hätte angesichts der Beschaffenheit der fraglichen Strecke zumindest daran zweifeln müssen, ob er sich nach wie vor auf einer Ausserortsstrecke befindet (vgl. auch Urk. 24 S. 5 unten). Dies tat er nicht, weshalb er fahrlässig handelte, was vorliegend nicht weiter massgeblich ist, weil ohnehin nur die fahrlässige Tat- begehung zu prüfen ist. Unbehelflich sind schliesslich die von der Verteidigung angeführten zahlreichen Beispiele von Örtlichkeiten, welche dem konkreten Tatort gleichen würden, an welchen jedoch die signalisierte Höchstgeschwindigkeit 80 km/h betrage (Urk. 24 S. 6 mit Verweis auf Urk. 22/1-6; Urk. 50 S. 10 ff.). Jeder regelmässige Fahrzeuglenker könnte fraglos eine grosse Zahl von Beispielen an- führen, in welchen ähnliche Verkehrssituationen wie die konkret interessierende eben eine Innerorts-Signalisation aufweisen. Daraus, dass der Gesetzgeber dies nicht an allen Orten genau gleich geregelt hat, entlastet den Beschuldigte nicht; es gilt die jeweilige gesetzliche Anordnung. Selbst aus einer rechtswidrigen Sig- nalisation könnte der Beschuldigte nichts ableiten: "Aus dem Vertrauensgrundsatz im Strassenverkehr ergibt sich die Pflicht zur Beachtung auch rechtswidrig platzierter</w:t>
      </w:r>
    </w:p>
    <w:p>
      <w:r>
        <w:t>- 12 - Signale, sofern sie nicht nichtig, d.h. offenkundig mangelhaft sind (vgl. BGE 128 IV 184 E. 4.3; BGer Urteile 6B_464/2015 vom 8. Februar 2016 E. 2.2; 6B_677/2014 vom 20. November 2014 E. 4.2 je m.w.H.; Urteil 6B_452/2016 vom 23. Dezember 2016). Dass es sodann auch Strecken mit Bushaltestellen gibt, auf welchen 80 km/h er- laubt sind, wie die Verteidigung geltend macht (vgl. Urk. 8/2 S. 2 f.; Urk. 24 S. 6), bedeutet selbstredend nicht, dass dort immer auch mit Höchstgeschwindigkeit ge- fahren werden dürfte, wenn Personen am Ein- und Aussteigen sind, denn die ge- fahrene Geschwindigkeit ist stets den konkreten Verhältnissen anzupassen (vgl. BGE 123 II 37 S. 41: "Fährt der Lenker beispielsweise innerorts mit 50 km/h nahe an ei- ner Gruppe spielender Kinder vorbei, kommt die Annahme einer groben Verkehrsregelverletzung in Betracht."). Irreführend ist schliesslich die Darstellung der Verteidigung, wonach der Beschuldigte die Grenze um 3km/h überschritten habe (Urk. 24 S. 7). Er fuhr vielmehr mindestens 27 km/h zu schnell, überschritt die zulässige Höchst- geschwindigkeit somit um mehr als die Hälfte, wodurch er eine abstrakte Gefähr- dung der weiteren Verkehrsteilnehmer jedenfalls in Kauf nahm.</w:t>
      </w:r>
    </w:p>
    <w:p>
      <w:r>
        <w:rPr>
          <w:b/>
        </w:rPr>
        <w:t>E. 5</w:t>
      </w:r>
    </w:p>
    <w:p>
      <w:r>
        <w:t>Das erstinstanzliche Kostendispositiv (Ziff. 5 und 6)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erbetene Verteidigung im Doppel für sich und zuhanden des Beschuldigten (übergeben) − die Staatsanwaltschaft Limmattal / Albis (versandt) sowie in vollständiger Ausfertigung an − die erbetene Verteidigung im Doppel für sich und zuhanden des Beschuldigten − die Staatsanwaltschaft Limmattal / Albis und nach unbenütztem Ablauf der Rechtsmittelfrist bzw. Erledigung allfälliger Rechtsmittel an</w:t>
      </w:r>
    </w:p>
    <w:p>
      <w:r>
        <w:t>- 15 - − die Vorinstanz − das Strassenverkehrsamt des Kantons Zürich, Abteilung Administrativ- massnahmen, 8090 Zürich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September 2017 Der Präsident: Die Gerichtsschreiberin: lic. iur. R. Naef MLaw M. Konrad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