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SB170138 vom 5. September 2017</w:t>
      </w:r>
    </w:p>
    <w:p>
      <w:r>
        <w:t>ZH Obergericht, 2017-09-05, DE</w:t>
      </w:r>
    </w:p>
    <w:p>
      <w:r>
        <w:rPr>
          <w:b/>
        </w:rPr>
        <w:t xml:space="preserve">Quelle: </w:t>
      </w:r>
      <w:r>
        <w:t>https://mcp.opencaselaw.ch/entscheid/zh_obergericht_SB170138</w:t>
      </w:r>
    </w:p>
    <w:p>
      <w:r>
        <w:t>FR: ZH_OBERGERICHT SB170138 du 5 septembre 2017</w:t>
      </w:r>
    </w:p>
    <w:p>
      <w:r>
        <w:t>IT: ZH_OBERGERICHT SB170138 del 5 settembre 2017</w:t>
      </w:r>
    </w:p>
    <w:p>
      <w:pPr>
        <w:pStyle w:val="Heading2"/>
      </w:pPr>
      <w:r>
        <w:t>Erwägungen</w:t>
      </w:r>
    </w:p>
    <w:p>
      <w:r>
        <w:rPr>
          <w:b/>
        </w:rPr>
        <w:t>E. 1</w:t>
      </w:r>
    </w:p>
    <w:p>
      <w:r>
        <w:t>Der Beschuldigte wurde mit Urteil des Bezirksgerichts Zürich vom 17. No- vember 2016 des gewerbsmässigen Diebstahls, des Diebstahls, des mehrfachen Hausfriedensbruchs, der qualifizierten Sachbeschädigung sowie der Sachbe- schädigung schuldig gesprochen und hierfür zu 4 ½ Jahren Freiheitsstrafe verur- teilt. Das Strafverfahren wegen Hausfriedensbruchs wurde betreffend verschiede- ner Dossiers eingestellt. Zudem entschied das Bezirksgericht über die zahlrei- chen, adhäsionsweise geltend gemachten, Zivilforderungen der Privatklägerschaft (Urk. 35 S. 28 ff.). Das Urteil wurde gleichentags mündlich eröffnet, begründet und den anwesenden Parteien im Dispositiv übergeben (Prot. I S. 31).</w:t>
      </w:r>
    </w:p>
    <w:p>
      <w:r>
        <w:rPr>
          <w:b/>
        </w:rPr>
        <w:t>E. 1.1</w:t>
      </w:r>
    </w:p>
    <w:p>
      <w:r>
        <w:t>Der Beschuldigte beanstandet die erstinstanzliche Strafzumessung haupt- sächlich insoweit, als dass der Verwertungserlös des Deliktsguts nicht annähernd dem in der Anklageschrift aufgeführten Deliktswert entspreche und somit nicht von einem Deliktsbetrag von Fr. 61'000.– ausgegangen werden könne. Der Be- schuldigte habe auch nicht die illegalen Aktivitäten einer Arbeit vorgezogen, son- dern über einen langen Zeitraum schlicht keine Arbeit gefunden (Urk. 48 S. 6). Zudem würden sich die straferhöhenden Gründe in Form der Vorstrafen und die strafmindernden Gründe in etwa die Waage halten, weil sich der Beschuldigte ko- operativ Verhalten habe und er Einsicht und Reue zeige. 24 Monaten Freiheits- strafe seien daher angemessen (Urk. 48 S. 8).</w:t>
      </w:r>
    </w:p>
    <w:p>
      <w:r>
        <w:rPr>
          <w:b/>
        </w:rPr>
        <w:t>E. 1.2</w:t>
      </w:r>
    </w:p>
    <w:p>
      <w:r>
        <w:t>Die Anklagebehörde beantragt dagegen eine Bestrafung des Beschuldigten mit einer Freiheitsstrafe von 5 Jahren (Urk. 47 S. 1). Sie machte namentlich gel- tend, abgesehen von den Strafschärfungsgründen der mehrfachen Tatbegehung und der mehreren erfüllten Straftaten würden die diversen, allesamt einschlägigen Vorstrafen und die Delinquenz während laufender Probezeit stark straferhöhend ins Gewicht fallen. Der Beschuldigte sei eigens zwecks Begehung von Einbrü- chen in die Schweiz eingereist und foutiere sich in krasser Weise um die gelten- den Gesetze. Im Weiteren scheine die Reue des Beschuldigten sehr oberfläch- lich. Es gehe ihm Mitnichten um die Opfer und seine Taten, sondern um sein Wohlergehen (Urk. 47 S. 2 f.) 2. Rechtliche Grundlagen der Strafzumessung</w:t>
      </w:r>
    </w:p>
    <w:p>
      <w:r>
        <w:rPr>
          <w:b/>
        </w:rPr>
        <w:t>E. 1.3</w:t>
      </w:r>
    </w:p>
    <w:p>
      <w:r>
        <w:t>Es ist folglich festzustellen, dass das Urteil des Bezirksgerichts Zürich,</w:t>
      </w:r>
    </w:p>
    <w:p>
      <w:r>
        <w:rPr>
          <w:b/>
        </w:rPr>
        <w:t>E. 2</w:t>
      </w:r>
    </w:p>
    <w:p>
      <w:r>
        <w:t>Dagegen meldete die amtliche Verteidigung mit Eingabe vom 23. November 2016 fristgerecht Berufung an (Urk. 27). Das begründete Urteil wurde der Vertei- digung am 23. März 2017 zugestellt (Urk. 34/2). Mit Eingabe vom 3. April 2017 erstattete sie fristgerecht ihre Berufungserklärung (Urk. 37). Die Staatsanwalt- schaft erhob hierauf mit Eingabe vom 21. April 2017 rechtzeitig Anschlussberu- fung (Urk. 40). In der Folge wurden die Parteien auf den 5. September 2017 zur Berufungsverhandlung vorgeladen (Urk. 43). Zu dieser erschienen der Beschul- digte in Begleitung seiner amtlichen Verteidigerin und Staatsanwältin lic. iur. Brunner für die Anklagebehörde (Prot. II S. 4). Sie stellten die eingangs aufgeführ- ten Anträge. II. Prozessuales 1. Gegenstand der Berufung</w:t>
      </w:r>
    </w:p>
    <w:p>
      <w:r>
        <w:rPr>
          <w:b/>
        </w:rPr>
        <w:t>E. 2.1</w:t>
      </w:r>
    </w:p>
    <w:p>
      <w:r>
        <w:t>Der Privatkläger 1, B._____, forderte mit Eingabe vom 20. März 2016 Scha- denersatz in der Höhe von Fr. 305.20, zuzüglich 5 % Zins seit dem 16. Juni 2015. Ferner gab er an, dass seine Zivilansprüche teilweise durch die O._____ Versi- cherung gedeckt würden (Urk. O1/6/6). Aus den übrigen Unterlagen zum entspre- chenden Dossier 8 ergibt sich nicht, welche Leistungen die O._____ Versicherung erbrachte (Urk. O3/D8/1-8). Es bleibt folglich unklar, ob und in welchem Umfang der Privatkläger 1 noch geschädigt ist. Demzufolge ist dem Antrag der Verteidi- gung zu folgen (Urk. 37 S. 3, Urk. 48 S. 9) und das Schadenersatzbegehren des Privatklägers 1 auf den Weg des Zivilprozesses zu verweisen.</w:t>
      </w:r>
    </w:p>
    <w:p>
      <w:r>
        <w:rPr>
          <w:b/>
        </w:rPr>
        <w:t>E. 2.2</w:t>
      </w:r>
    </w:p>
    <w:p>
      <w:r>
        <w:t>Der Privatkläger 10A, I._____, machte gemäss dem am 20. März 2016 aus- gefüllten und unterzeichneten Formular "Geltendmachung von Rechten als Pri- vatklägerschaft" einen Schadenersatz von Fr. 1'355.– und eine Genugtuung von Fr. 200.– geltend. Er gab ferner an, dass seine Zivilansprüche ganz oder teilweise durch die J._____ gedeckt worden seien, und reichte diesbezüglich auch eine Ab- rechnung der genannten Versicherung ein, datiert vom 8. September 2015 (Urk. O1/6/8). Daraus geht hervor, dass die J._____ den geltend gemachten Ge- samtschaden von Fr. 1'435.– anerkannte und dem Privatkläger 10A unter Abzug eines Selbstbehaltes von Fr. 200.– Fr. 1235.– zahlte. Entgegen der vom Privat- kläger 10A gewählten Bezeichnung "Genugtuung" handelt es sich bei diesen Fr. 200.– damit nicht um einen immateriellen, sondern um einen materiellen Schaden (so auch die Vorinstanz in Urk. 35 S. 26). Dieser Betrag ist mit der bei- gebrachten Abrechnung der J._____ ausgewiesen. Im Übrigen wurde der Scha- den von der Versicherung gedeckt. Der Beschuldigte ist daher zu verpflichten, dem Privatkläger 10A Schadenersatz von Fr. 200.– zu bezahlen. Im Mehrbetrag (Fr. 1'355.–) ist das Schadenersatzbegehren abzuweisen.</w:t>
      </w:r>
    </w:p>
    <w:p>
      <w:r>
        <w:t>- 27 -</w:t>
      </w:r>
    </w:p>
    <w:p>
      <w:r>
        <w:rPr>
          <w:b/>
        </w:rPr>
        <w:t>E. 2.3</w:t>
      </w:r>
    </w:p>
    <w:p>
      <w:r>
        <w:t>Die Privatklägerin 16, M._____, forderte am 14. März 2016 unter dem Titel "Genugtuung" Fr. 200.–. Sie gab dabei an, dass ihre Zivilansprüche ganz oder teilweise durch die J._____ gedeckt worden seien und reichte die entsprechende Abrechnung der J._____ vom 5. Oktober 2015 (inklusive einer von ihr erstellten Deliktsguts-Liste) ein (Urk. O1/6/11). Aus der Abrechnung ergibt sich, dass die J._____ die geltend gemachte Schadenshöhe von Fr. 5'510.– anerkannte und der Privatklägerin unter Abzug eines Selbstbehaltes von Fr. 200.– hierfür Fr. 5'310.– zahlte. Somit handelt es sich bei den eingeforderten Fr. 200.– um einen materiel- len Schaden, welcher mit der genannten Abrechnung der J._____ ausgewiesen ist. Der Beschuldigte ist demzufolge zu verpflichten, der Privatklägerin 16 Scha- denersatz von Fr. 200.– zu bezahlen. 3. Genugtuungsbegehren der Privatkläger 1, 3, 5, 7 und 11A 3.1. Die Vorinstanz verwies die Genugtuungsforderungen der Privatkläger 1, 3, 5, 7 und 11A auf den Zivilweg, weil diese nicht hinreichend begründet worden seien (Urk. 35 S. 27 f.). Die Verteidigung beantragte die Abweisung dieser Forde- rungen (Urk. 37 S. 3). 3.2. Diese Genugtuungsforderungen sind grundsätzlich per se nicht unbegrün- det, denn es ist - wie bei der Strafzumessung bereits ausgeführt - durchaus nahe- liegend, dass die genannten Geschädigten durch das Eindringen in ihre privaten Wohnräume in ihrem Sicherheitsgefühl beeinträchtigt und damit in ihrer psychi- schen Integrität verletzt wurden. Diesfalls wäre eine Persönlichkeitsverletzung im Sinne von Art. 49 Abs. 1 OR allenfalls zu bejahen und die Grundlage für eine Ge- nugtuung gegeben. Da die Privatkläger allerdings keine substantiierten Ausfüh- rungen zum Ausmass und den konkreten Folgen der Persönlichkeitsverletzung machten und sich auch nicht zu einer konkreten Genugtuungshöhe äusserten, kann vorliegend eine angemessene Genugtuung auch nicht vom Gericht ge- schätzt werden. Somit erweisen sich ihre Genugtuungsforderungen als nicht spruchreif. Der grundsätzlich bestehende Anspruch ist daher auf dem Zivilweg zu verfolgen. Der vorinstanzliche Entscheid, die Privatkläger 1, 3, 5, 7 und 11A dies-</w:t>
      </w:r>
    </w:p>
    <w:p>
      <w:r>
        <w:t>- 28 - bezüglich auf den Zivilweg zu verweisen, ist unter Hinweis auf Art. 126 Abs. 2 lit. b StPO zu bestätigen. VI. Kostenfolgen 1. Bei diesem Verfahrensausgang - der Beschuldigte wird verurteilt - ist die erstinstanzliche Kostenauflage gemäss Dispositivziffer 21 des vorinstanzlichen Urteils zu bestätigen (Art. 426 Abs. 1 StPO). 2. Die Kosten des Berufungsverfahrens tragen die Parteien nach Massgabe ih- res Obsiegens und Unterliegens (Art. 428 Abs. 1 StPO). Der Beschuldigte unter- liegt mit seinen Anträgen vollumfänglich. Die Staatsanwaltschaft obsiegt im ange- fochtenen Strafpunkt. Somit sind die Kosten des Berufungsverfahrens dem Be- schuldigten aufzuerlegen. Davon ausgenommen sind die Kosten der amtlichen Verteidigung, welche vorerst auf die Gerichtskasse zu nehmen sind. Vorbehalten bleibt eine Nachforderung vom Beschuldigten gemäss Art. 135 Abs. 4 StPO. 3. Die amtliche Verteidigung machte für das Berufungsverfahren, inklusive Be- rufungsverhandlung, Aufwendungen im Betrag von Fr. 4'779.25 geltend (Urk. 25/2 und 49/1). Diese erweisen sich als angemessen und entsprechen den Vorschrif- ten der Anwaltsgebührenverordnung (§ 2 Abs. 1 lit. b, § 3 und § 18 Abs. 1 i.V.m. § 17 Abs. 1 lit. b AnwGebV). Rechtsanwältin lic. iur. X._____ ist demnach mit rund Fr. 4'800.– (inkl. MWSt.) aus der Gerichtskasse zu entschädigen. Es wird beschlossen:</w:t>
      </w:r>
    </w:p>
    <w:p>
      <w:r>
        <w:rPr>
          <w:b/>
        </w:rPr>
        <w:t>E. 2.4</w:t>
      </w:r>
    </w:p>
    <w:p>
      <w:r>
        <w:t>Beim Hausfriedensbruch im Sinne von Art. 186 StGB gilt das Strafantragser- fordernis uneingeschränkt.</w:t>
      </w:r>
    </w:p>
    <w:p>
      <w:r>
        <w:rPr>
          <w:b/>
        </w:rPr>
        <w:t>E. 2.4.1</w:t>
      </w:r>
    </w:p>
    <w:p>
      <w:r>
        <w:t>Gemäss Art. 30 Abs. 1 StGB ist jede Person zur Stellung eines Strafan- trages legitimiert, die durch eine Tat verletzt worden ist. Der Strafantrag ist bei der Polizei, der Staatsanwaltschaft oder der Übertretungsstrafbehörde schriftlich ein- zureichen oder mündlich zu Protokoll zu geben (Art. 304 Abs. 1 StPO). Das An- tragsrecht erlischt nach Ablauf von drei Monaten. Die Frist beginnt mit dem Tag, an welchem der antragsberechtigten Person der Täter bekannt wird (Art. 31 StGB). Inhalt des Strafantrags muss eine Willenserklärung des Verletzten sein, dass die Strafverfolgung stattfinden solle, und zwar eine solche Willenserklärung, welche nach dem massgebenden Prozessrecht die Strafverfolgung auch tatsäch- lich in Gang bringt und das Verfahren ohne weitere Erklärung des Antragstellers seinen Lauf nehmen lässt. Der Strafantrag muss nicht als solcher benannt sein. Ebenso wenig schadet eine falsche Bezeichnung. Vorausgesetzt ist aber eine Umschreibung des Sachverhalts, für den die Strafverfolgung verlangt wird. Des- sen rechtliche Würdigung ist hingegen nicht erforderlich und selbst eine falsche rechtliche Qualifikation macht den Strafantrag nicht ungültig. Schliesslich ist auch ein Strafantrag gegen Unbekannt gültig, ohne dass er in einen namentlichen um-</w:t>
      </w:r>
    </w:p>
    <w:p>
      <w:r>
        <w:t>- 9 - gewandelt werden muss, wenn der Täter bekannt wird. Von einem Strafantrag zu unterscheiden ist eine Strafanzeige. Letztere ist eine blosse Wissenserklärung und gilt nur dann gleichzeitig als Strafantrag, wenn sich daraus der Wille auf Ein- leitung der Strafverfolgung zumindest sinngemäss ergibt. Erstattet der Verletzte selber Anzeige, dürfte dies der Fall sein, zumal er dies in aller Regel nicht bloss zu Informationszwecken tun dürfte, sondern weil er den Täter auch verfolgt wis- sen will (zum Ganzen: BSK StGB-RIEDO, N 47, 49, 52 - 54 zu Art. 30; BGE 141 IV 380 E. 1.3.2 und BGE 131 IV 97 E. 3.1, je mit Hinweisen).</w:t>
      </w:r>
    </w:p>
    <w:p>
      <w:r>
        <w:rPr>
          <w:b/>
        </w:rPr>
        <w:t>E. 2.4.2</w:t>
      </w:r>
    </w:p>
    <w:p>
      <w:r>
        <w:t>Der Privatkläger 3 erstattete am Tatabend des 1. März 2015 mündlich Strafanzeige bei der Kantonspolizei St. Gallen wegen versuchten Einbruchdieb- stahls (Dossier 4). Die Polizei nahm die detaillierte Aussage des Privatklägers hierzu auf und rapportierte an das Untersuchungsamt Uznach betreffend Dieb- stahl (Versuch), Sachbeschädigung (geringfügig) und Hausfriedensbruch gegen unbekannte Täterschaft. Als Schlussbemerkung nahm die Polizei zu Protokoll, dass der Geschädigte die Bestrafung der Täterschaft für die im Zusammenhang mit dem eingangs erwähnten Delikt begangenen Handlungen wünscht (Urk. O3/D4/1). Unter Hinweis auf die obigen Erwägungen gab der Privatkläger 3 damit als Verletzter bereits mit der Strafanzeige frist- und formgerecht sowie un- missverständlich seine Willenserklärung zu Protokoll, der (noch unbekannte) Schuldige solle wegen Diebstahlsversuchs, Sachbeschädigung und Hausfrie- densbruchs verfolgt und bestraft werden. Zur Verdeutlichung dieser Willenserklä- rung unterschrieb der Privatkläger 3 gleichentags ein schriftliches, explizit als "Strafantrag" bezeichnetes, Formular (Urk. O3/D4/2). Somit erstattete er bereits am 1. März 2015 einen gültigen Strafantrag u.a. wegen Hausfriedensbruchs. Da- ran ändert auch der Umstand nichts, dass im besagten Formular als Delikt "Ein- bruchdiebstahl-Versuchs" aufgeführt wurde. Denn auch der Begriff "Einbruch- diebstahl" umschreibt den zur Anzeige gebrachten Hausfriedensbruch genügend klar, ist dem Begriff "Einbruch" doch ein unerlaubtes Eindringen in einen abge- grenzten Bereich geradezu immanent. Da also ein gültiger Strafantrag bereits mit Anzeigeerstattung gestellt worden war, musste dieser bei Bekanntwerden der Tä- terschaft weder umgewandelt noch wiederholt werden. Weitere Ausführungen zu</w:t>
      </w:r>
    </w:p>
    <w:p>
      <w:r>
        <w:t>- 10 - dem am 3. Mai 2016 bei der Stadtpolizei Zürich erneut gestellten Strafantrag des Privatklägers 3 gegen den inzwischen als Täter ermittelten Beschuldigten erübri- gen sich damit (Urk. O3/D4/8).</w:t>
      </w:r>
    </w:p>
    <w:p>
      <w:r>
        <w:rPr>
          <w:b/>
        </w:rPr>
        <w:t>E. 2.4.3</w:t>
      </w:r>
    </w:p>
    <w:p>
      <w:r>
        <w:t>Zur Verfolgung des im Dossier 4 eingeklagten Hausfriedensbruchs sind sämtliche Prozessvoraussetzungen somit erfüllt. Entgegen der Auffassung der Verteidigung ist das entsprechende Verfahren nicht einzustellen. III. Schuldpunkt 1. Betreffend Sachverhalt ging die Vorinstanz - abgesehen von wenigen Kor- rekturen in Bezug auf Teile des Deliktsguts in den Dossiers 16, 24 und 27 - davon aus, dass er anklagegemäss erstellt ist, zumal er weitestgehend auf dem Ge- ständnis des Beschuldigten beruht (Urk. 35 S. 14 - 17). Da sich die vorinstanzli- che Sachverhaltserstellung mit dem Ergebnis der Untersuchung deckt und sie weder von Seiten der Anklagebehörde noch von Seiten des Beschuldigten gerügt wurde, ist sie ohne Weiteres der rechtlichen Würdigung in diesem Urteil zugrunde zu legen. 2. Von der Verteidigung wird im Schuldpunkt lediglich die rechtliche Würdigung des Anklagesachverhalts betreffend die Dossiers 2 und 4 bis 33 als qualifizierte Sachbeschädigung im Sinne von Art. 144 Abs. 3 StGB bestritten. Die Verteidi- gung beantragt stattdessen einen Schuldspruch wegen mehrfacher einfacher Sachbeschädigung im Sinne von Art. 144 Abs. 1 StGB (Urk. 37 S. 2 f.). Anlässlich der Berufungsverhandlung führte sie namentlich aus, dass die beschädigten Ver- mögenswerte nicht zu einem Gesamtschaden zusammengerechnet werden dürf- ten (Urk. 48 S. 5; vgl. Prot. I S. 27). 3.1. Verursacht der Täter durch eine Sachbeschädigung im Sinne von Art. 144 Abs. 1 StGB einen grossen Schaden, wird er von Amtes wegen verfolgt und be- straft (Art. 144 Abs. 3 StGB). Der Vorsatz des Täters muss sich dabei auf die Verursachung eines grossen Schadens richten, wobei Eventualvorsatz genügt</w:t>
      </w:r>
    </w:p>
    <w:p>
      <w:r>
        <w:t>- 11 - (Philippe Weissenberger in: Niggli/Wiprächtiger [Hrsg.], Basler Kommentar, Straf- recht II, 3. A. Basel 2013 [kurz: BSK StGB-WEISSENBERGER], N 103 zu Art. 144). 3.2. Gemäss bundesgerichtlicher Rechtsprechung gilt ein Schaden in der Höhe von mindestens Fr. 10'000.– als gross (BGE 136 IV 117 E. 4.3.1). Bei mehreren Sachbeschädigungen, welche eine natürliche Handlungseinheit bilden, ist der Gesamtwert der geschädigten Vermögenswerte massgebend, gleichgültig, ob sich die Tat gegen einen oder mehrere Geschädigte richtet (BSK StGB- WEISSENBERGER, N 104 zu Art. 144). Eine natürliche Handlungseinheit bilden mehrere Einzelhandlungen dann, wenn sie auf einem einheitlichen Willensakt be- ruhen und wegen des engen räumlichen und zeitlichen Zusammenhangs bei ob- jektiver Betrachtung noch als ein einheitliches zusammengehörendes Geschehen erscheinen. Dazu zählen namentlich Fälle der iterativen Tatbestandsverwirkli- chung (z.B. eine "Tracht Prügel") oder der sukzessiven Tatbegehung (z.B. Be- sprayen einer Mauer mit Graffiti in mehreren aufeinanderfolgenden Nächten). Ei- ne natürliche Handlungseinheit fällt jedoch ausser Betracht, wenn zwischen den einzelnen Handlungen – selbst wenn diese aufeinander bezogen sind – ein länge- rer Zeitraum liegt (BGE 131 IV 83 E. 2.4.5). 3.3. Im Urteil des Bundesgerichts 6B_797/2011 vom 13. April 2012 ging es um einen Beschwerdeführer, der zusammen mit weiteren Beteiligten von Ende Okto- ber 2007 bis Mitte April 2008 rund 40 Mal in Schulen, Schützenhäusern und Ga- ragen eingebrochen war und dabei verschiedenes Diebesgut erbeutet hatte. Die Vorinstanz sprach ihn hierfür des gewerbs- und bandenmässigen Diebstahls, der qualifizierten Sachbeschädigung und des mehrfachen Hausfriedensbruchs schul- dig (Lit. A und C). Sie hatte somit die Schäden, welche der Täter bei den während rund 6 Monaten verübten 40 Einbruchdiebstählen verursacht hatte, zusammen- gezählt und ihn daher unter anderem wegen qualifizierter Sachbeschädigung ver- urteilt. Das Bundesgericht kritisierte diesen Entscheid nicht. Es hatte sich damit auseinanderzusetzen, ob die Vorinstanz die Beweisanträge des Beschuldigten zur Schadenshöhe zu Unrecht abgelehnt habe (E. 1.5.1) und es erwog in diesem Zusammenhang, dass die Vorinstanz in antizipierter Beweiswürdigung auf weitere</w:t>
      </w:r>
    </w:p>
    <w:p>
      <w:r>
        <w:t>- 12 - Beweiserhebungen habe verzichten dürfen, nachdem sich bei den 40 Einbruch- diebstählen anhand des Schadensbildes ein grosser Sachschaden von mindes- tens Fr. 10'000.– ohne Weiteres aufgedrängt habe (E. 1.5.3). Somit ging auch das Bundesgericht in diesem Fall davon aus, dass die Schäden zusammenzurechnen waren. Gleiches muss auch für den vorliegenden Fall gelten: 3.4. Vorsätzlich begeht ein Verbrechen oder Vergehen, wer die Tat mit Wissen und Willen ausführt. Vorsätzlich handelt bereits, wer die Verwirklichung der Tat für möglich hält und in Kauf nimmt (Art. 12 Abs. 2 StGB). Direkter Vorsatz ist auch gegeben, wenn der Täter den deliktischen Erfolg als notwendige Folge oder als Mittel zur Erreichung des verfolgten Zwecks in seinen Entschluss mit einbezogen hat, selbst wenn dieser ihm gleichgültig oder sogar unerwünscht sein mag (sog. direkter Vorsatz zweiten Grades). Er braucht nicht das direkt vom Täter erstrebte Ziel zu sein. Es genügt, dass er mitgewollt ist (BGE 119 IV 193 E. 2b/cc mit Hinweisen; Urteil des Bundesgerichts 6B_352/2011 vom 20. Oktober 2011 E. 3.1). Nach der ständigen Rechtsprechung des Bundesgerichts ist Eventualvorsatz ge- geben, wenn der Täter den Eintritt des Erfolgs beziehungsweise die Tatbestands- verwirklichung für möglich hält, aber dennoch handelt, weil er den Erfolg für den Fall seines Eintritts in Kauf nimmt, sich mit ihm abfindet, mag er ihm auch uner- wünscht sein. Für den Nachweis des Vorsatzes kann sich das Gericht - soweit der Täter nicht geständig ist - regelmässig nur auf äusserlich feststellbare Indizien und auf Erfahrungsregeln stützen, die ihm Rückschlüsse von den äusseren Um- ständen auf die innere Einstellung des Täters erlauben (BGE 135 IV 12 E. 2.3.2 und BGE 134 IV 26 E. 3.2.2 mit Hinweisen). Das Gericht darf vom Wissen des Täters auf den Willen schliessen, wenn sich dem Täter der Eintritt des Erfolgs als so wahrscheinlich aufdrängt, dass die Bereitschaft, ihn als Folge hinzunehmen, vernünftigerweise nur als Inkaufnahme des Erfolgs ausgelegt werden kann (BGE137 IV 1 E. 4.2.3; BGE 133 IV 222 E. 5.3; je mit Hinweisen). 4. Der Beschuldigte beging von Januar 2015 bis März 2016 fortlaufend und in einer gewissen Regelmässigkeit 31 Diebstähle und damit einhergehend Sachbe-</w:t>
      </w:r>
    </w:p>
    <w:p>
      <w:r>
        <w:t>- 13 - schädigungen, indem er sich mittels Einschlagens von Fenstern und Aufwuchten von Türen unberechtigten Zutritt zu den jeweiligen verschlossenen Häusern, Wohnungen und Örtlichkeiten, darunter einige Wohnanhänger, verschaffte. Der Beschuldigte beging die jeweiligen Einzelhandlungen nach gleichem, bezie- hungsweise auffällig ähnlichem, Muster. Durchschnittlich verübte er pro Monat zwei Diebstähle und Sachbeschädigungen der genannten Art, wobei denn auch nie ein längerer Zeitraum zwischen den einzelnen Tathandlungen vorlag: Zwi- schen zwei Serien von Einbruchdiebstählen in der Schweiz vergingen maximal drei Monate, wobei er jeweils dazwischen wieder nach Rumänien zurückgekehrt war, um das Deliktsgut zu verkaufen (Prot. I S. 23; Urk. O1/2/10 S. 3 f.). Nach ei- genem Bekunden reiste er von Rumänien her einzig aus dem Grund in die Schweiz ein, um hier Einbruchdiebstähle zu begehen und damit seinen Lebens- unterhalt und denjenigen seiner Familie zu finanzieren (Urk. O1/2/6 S. 12; Urk. O1/2/9 S. 3; Urk. O1/2/10 S. 3 ff.; Prot. I S. 24). Aufgrund der begangenen Delikte, dem zeitlichen Zusammenhang und den eigenen Aussagen des Beschul- digten verbleibt kein Zweifel, dass der Beschuldigte bereits bei seiner ersten Rei- se in die Schweiz im Sinne eines Grundsatzes den Entschluss fasste, zum Zwe- cke des Diebstahls in die Schweiz zu reisen, um daraufhin das Deliktsgut in sei- ner Heimat zu verkaufen und zu Bargeld zu machen, um bei Bedarf erneut wieder in die Schweiz zu reisen und genau gleich vorzugehen. Es drängt sich daher auf, dass der Beschuldigte seinen grundsätzlichen Tatentschluss zum Begehen ge- werbsmässiger Diebstähle selbst dann nicht aufgab, als er zwischenzeitlich je- weils wieder nach Rumänien zurückreiste. Aufgrund seiner eigenen Aussagen bestand der Grund für seine Rückreise offensichtlich nicht im Abstandnehmen von seinem deliktischen Tun, sondern vielmehr im Umsetzen des Deliktsgutes und - was sich zwanglos aus der allgemeinen Lebenserfahrung ergibt - wohl auch im Erschweren seiner Strafverfolgung. Die vom Beschuldigten im Rahmen des gewerbsmässigen Diebstahls begangenen Sachbeschädigungen zwischen Janu- ar 2015 und März 2016 sind zweifellos als vom Beschuldigten im Sinne von direk- tem Vorsatz zweiten Grades gewollt zu betrachten, da er zwecks Diebstahls in die verschlossenen Örtlichkeiten mit Gewalt eindringen wollte und dazu bewusst und</w:t>
      </w:r>
    </w:p>
    <w:p>
      <w:r>
        <w:t>- 14 - zielorientiert Steine und Aufbruchswerkzeug verwendete. Da das Tatvorgehen des Beschuldigten immer praktisch gleich war und die Sachbeschädigungen je- weils Voraussetzung der gewerbsmässig begangenen Diebstähle waren, verbleibt kein Zweifel, dass auch die Sachbeschädigungen auf einem umfassenden grund- sätzlichen und einheitlichen Willensentschluss beruhten. Sie waren somit von ei- nem generellen und dauerhaften Vorsatz getragen, was sich insbesondere in der Regelmässigkeit, der Quantität und Qualität der einzelnen Handlungen zeigt, und bilden deshalb eine natürliche Handlungseinheit. Die einzelnen verursachten Schäden sind daher zusammenzuzählen. 5. Die Vorinstanz ging von einem Gesamtschaden (ohne Dossier 1) von rund Fr. 37'000.– aus und qualifizierte daher den Schaden als gross im Sinne der zi- tierten Rechtsprechung (Urk. 35 S. 18; vgl. Urk. O1/10/5). Soweit die Verteidigung geltend macht, die exakte Schadenshöhe stehe nicht fest und der Gesamtscha- den sei nur geschätzt worden (Urk. 48 S. 5), ist dem entgegenzuhalten, dass der Beschuldigte zumindest die Verursachung eines Schadensbetrages von Fr. 28'500.– bereits selber explizit eingeräumt hatte (Urk. O1/2/10 S. 8 ff. und Urk. O1/2/11 S. 2 ff.). Im Übrigen drängt sich auch aufgrund des Schadensbildes ohne Weiteres auf, dass der Beschuldigte durch seine Einbruchdiebstähle einen grossen Sachschaden im Sinne der Rechtsprechung anrichtete (Urteil des Bun- desgerichts 6B_797/2011 vom 13. April 2012, E. 1.5.3). Zweifellos ist somit die Grenze zur qualifizierten Sachbeschädigung deutlich überschritten und es liegt ein grosser Schaden im Sinne von Art. 144 Abs. 3 StGB vor. 6. Der Beschuldigte ist daher in Übereinstimmung mit der Vorinstanz der quali- fizierten Sachbeschädigung im Sinne von Art. 144 Abs. 1 i.V.m. Abs. 3 StGB schuldig zu sprechen.</w:t>
      </w:r>
    </w:p>
    <w:p>
      <w:r>
        <w:t>- 15 - IV. Strafe 1. Parteistandpunkte</w:t>
      </w:r>
    </w:p>
    <w:p>
      <w:r>
        <w:rPr>
          <w:b/>
        </w:rPr>
        <w:t>E. 7</w:t>
      </w:r>
    </w:p>
    <w:p>
      <w:r>
        <w:t>Abteilung, vom 17. November 2016 bezüglich der Dispositivziffern 1 teilweise (Schuldspruch betreffend gewerbsmässigen Diebstahl, Diebstahl, mehrfachen Hausfriedensbruch und Sachbeschädigung), 2 (Verfahrenseinstellungen betref- fend Hausfriedensbruch), 4 (Vollzug), 6 - 11, 13 - 15 und 17 (Zivilforderungen der Privatkläger 2, 4, 5, 6, 7, 9, 10B, 11A, 11B und 19) sowie 19 und 20 (Kostenfest- setzung) in Rechtskraft erwachsen ist. 2. Antrag auf Verfahrenseinstellung mangels gültiger Strafanträge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