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SB160500 vom 21. April 2017</w:t>
      </w:r>
    </w:p>
    <w:p>
      <w:r>
        <w:t>ZH Obergericht, 2017-04-21, DE</w:t>
      </w:r>
    </w:p>
    <w:p>
      <w:r>
        <w:rPr>
          <w:b/>
        </w:rPr>
        <w:t xml:space="preserve">Quelle: </w:t>
      </w:r>
      <w:r>
        <w:t>https://mcp.opencaselaw.ch/entscheid/zh_obergericht_SB160500</w:t>
      </w:r>
    </w:p>
    <w:p>
      <w:r>
        <w:t>FR: ZH_OBERGERICHT SB160500 du 21 avril 2017</w:t>
      </w:r>
    </w:p>
    <w:p>
      <w:r>
        <w:t>IT: ZH_OBERGERICHT SB160500 del 21 aprile 2017</w:t>
      </w:r>
    </w:p>
    <w:p>
      <w:pPr>
        <w:pStyle w:val="Heading2"/>
      </w:pPr>
      <w:r>
        <w:t>Erwägungen</w:t>
      </w:r>
    </w:p>
    <w:p>
      <w:r>
        <w:rPr>
          <w:b/>
        </w:rPr>
        <w:t>E. 1</w:t>
      </w:r>
    </w:p>
    <w:p>
      <w:r>
        <w:t>Gegen das eingangs wiedergegebene Urteil des Bezirksgerichtes Winterthur vom 17. August 2016 (DG160033), liess die Staatsanwaltschaft Win- terthur/Unterland mit Eingabe vom 24. August 2016 (HD Urk. 31) innert Frist Be- rufung anmelden. Das vollständig begründete Urteil (Urk. 48) wurde von der Staatsanwaltschaft am 21. November 2016 (HD Urk. 43) entgegengenommen. Am 9. Dezember 2016 und damit fristgerecht ging die Berufungserklärung bei der entscheidenden Kammer ein (Urk. 50). Mit Präsidialverfügung vom 16. Dezember 2016 wurde dem Beschuldigten sowie den Privatklägern 1-5 unter Hinweis auf die Berufungserklärung der Staatsanwaltschaft Frist zur Erhebung einer Anschluss- berufung bzw. zum Antrag auf Nichteintreten auf die Berufung angesetzt (Urk. 52; Empfangsbestätigungen: Urk. 53/1-7). Mit Eingabe vom 16. Januar 2017 verzich- tete der Beschuldigte auf Anschlussberufung (Urk. 54). Die Privatkläger liessen sich demgegenüber nicht vernehmen.</w:t>
      </w:r>
    </w:p>
    <w:p>
      <w:r>
        <w:rPr>
          <w:b/>
        </w:rPr>
        <w:t>E. 2</w:t>
      </w:r>
    </w:p>
    <w:p>
      <w:r>
        <w:t>Am 6. Februar 2017 ergingen die Vorladungen zur heutigen Berufungsverhand- lung (Urk. 55).</w:t>
      </w:r>
    </w:p>
    <w:p>
      <w:r>
        <w:rPr>
          <w:b/>
        </w:rPr>
        <w:t>E. 3</w:t>
      </w:r>
    </w:p>
    <w:p>
      <w:r>
        <w:t>Gemäss Art. 402 StPO hat die Berufung im Umfang der Anfechtung aufschie- bende Wirkung. Die Rechtskraft des angefochtenen Urteils wird somit im Umfang der Berufungsanträge gehemmt, während die von der Berufung nicht erfassten Punkte in Rechtskraft erwachsen (vgl. BSK StPO-Eugster, Art. 402 N 1 f.). Die Staatsanwaltschaft lässt die Dispositivziffer 2 (Strafzumessung) anfechten (Urk. 62 S. 1). Der Vollzug der Strafe (Dispositivziffer 3) gilt praxisgemäss als mit- angefochten. In ihrer Berufungserklärung (Urk. 50) focht sie auch das Nichteintre- ten auf den Widerrufsantrag (Dispositionsziffer 4) an, hielt jedoch anlässlich der Berufungsverhandlung nicht mehr daran fest (Urk. 62 S. 1). Damit erwächst das vorinstanzliche Urteil hinsichtlich der Dispositivziffern 1 (Schuldspruch), 4 (Nicht-</w:t>
      </w:r>
    </w:p>
    <w:p>
      <w:r>
        <w:t>- 6 - eintreten auf den Widerrufsantrag), 5 (Zivilforderungen) sowie 6 und 7 (Kosten- dispositiv) in Rechtskraft, was vorab mit Beschluss festzustellen ist.</w:t>
      </w:r>
    </w:p>
    <w:p>
      <w:r>
        <w:rPr>
          <w:b/>
        </w:rPr>
        <w:t>E. 4</w:t>
      </w:r>
    </w:p>
    <w:p>
      <w:r>
        <w:t>Bei der Beurteilung der objektiven Tatschwere fällt zunächst ins Gewicht, dass der Beschuldigte mit seinem Mittäter in zwei vollendeten Diebstählen insgesamt ca. Fr. 41‘250.– erbeutete. Dies stellt einen beträchtlichen Deliktsbetrag dar. Auch der dabei sowie bei einem weiteren Einbruchsversuch angerichtete Sachschaden von insgesamt ca. Fr. 43'000.– ist erheblich (vgl. BGE 136 IV 119 E. 4.3.1). Dass der Beschuldigte nicht in Privatwohnungen, sondern in zur Tatzeit leer stehende Eishallen eindrang, mindert sein Verschulden bezüglich der Hausfriedensbrüche</w:t>
      </w:r>
    </w:p>
    <w:p>
      <w:r>
        <w:t>- 8 - nur unwesentlich, da er sich gezielt solche Objekte aussuchte, um das Risiko, bei der Tat entdeckt zu werden, zu minimieren. Bei den Einbrüchen ging er mit sei- nem Komplizen jeweils äusserst professionell vor. So nahmen sie alle nötigen Werkzeuge mit, um in die ausgesuchten Gebäude einzudringen und vorhandene Tresore zu öffnen. Nachdem sie in die jeweiligen Objekte eingedrungen waren, zerstörten sie gezielt Alarme und Bewegungsmelder sowie Lampen, die zu ihrer Entdeckung hätten führen können. Ferner versuchten sie auch, das Sicherstellen von DNA-Spuren zu verhindern, was ihnen aber misslang. Zwei vollendete Ein- brüche und ein Einbruchsversuch innert vierzehn Tagen zeugen von beachtlicher krimineller Energie, ebenso wie der Umstand, dass der Beschuldigte mit seinem Komplizen einzig zum Zwecke der Delinquenz in die Schweiz einreiste. Dass es bei einem Vorfall beim Versuch blieb, ist nur marginal strafmindernd zu berück- sichtigen, da der Einbruchsversuch erst abgebrochen wurde, als trotz der ge- troffenen Vorkehrungen ein Alarm ausgelöst wurde. Dass der Beschuldigte und sein Mittäter insgesamt mehr Sachschaden anrichteten, als sie an Bargeld erbeu- teten, weist schliesslich auf eine nicht unbeträchtliche Rücksichtslosigkeit und Hartnäckigkeit hin. Zu Gunsten des Beschuldigten ist davon auszugehen, dass der Hauptdrahtzieher der Einbruchsserie der Mittäter des Beschuldigten, F._____, war. Das objektive Tatverschulden wiegt aufgrund dieser Erwägungen insgesamt nicht mehr leicht. Zur subjektiven Tatschwere ist auszuführen, dass der Beschuldigte mit dem Erlös seiner Taten seinen Lebensunterhalt finanzierte und somit aus überwiegend fi- nanziellen Interessen handelte. Aus seinen heutigen Ausführungen geht hervor, dass er und seien Familie im Kosovo mit Fr. 10'000.– ein bis zwei Jahre lang le- ben konnten (Prot. II S. 9 f.); es war also eine für seine Verhältnisse beträchtliche Summe. Dass er einem Teil des Delikterlöses die Kosten der medizinischen Be- handlung seiner Tochter deckte, da er die Behandlungskosten in bar bezahlen musste und er über keine Krankenversicherung verfügt (Prot. II S. 11 ff und S. 15 f.), wirkt sich nur leicht zu seinen Gunsten aus, da er das gestohlene Geld auch gemäss seinen Angaben nur teilweise für ihre Behandlung verwendete und es im Übrigen schnell ausgab (HD Urk. 2/3 S. 10). Der Umstand, dass er nach den drei eingeklagten Einbrüchen keine weiteren Delikte mehr beging und die Schweiz</w:t>
      </w:r>
    </w:p>
    <w:p>
      <w:r>
        <w:t>- 9 - verliess, ohne dass er durch eine Verhaftung gestoppt wurde, fällt ebenfalls zu seinen Gunsten ins Gewicht. Wie bereits erwähnt, wurden die Sachbeschädigun- gen einzig verübt, um die Begehung des gewerbsmässigen Diebstahls zu ermög- lichen. Andere Motive (wie z.B. eine Lust am Zerstören) sind nicht erkennbar. Das subjektive Tatverschulden ist demnach insgesamt als gerade noch leicht zu wer- ten. Das subjektive Tatverschulden relativiert das objektive folglich geringfügig. Unter Berücksichtigung der untergeordneten Bedeutung der Hausfriedensbrüche und der Sachbeschädigungen erweist sich - mit der Vorinstanz (Urk. 48 E. V.3.2.3.) - eine Einsatzstrafe von 24 Monaten als angemessen.</w:t>
      </w:r>
    </w:p>
    <w:p>
      <w:r>
        <w:rPr>
          <w:b/>
        </w:rPr>
        <w:t>E. 5</w:t>
      </w:r>
    </w:p>
    <w:p>
      <w:r>
        <w:t>Diese verschuldensangemessene Strafe ist aufgrund von Umständen, die mit der Tat grundsätzlich nichts zu tun haben, zu erhöhen oder herabzusetzen. Mass- gebend hierfür sind im Wesentlichen täterbezogene Komponenten wie die per- sönlichen Verhältnisse, Vorstrafen, Leumund, Strafempfindlichkeit und Nachtat- verhalten (Geständnis, Einsicht, Reue etc.; vgl. BSK StGB I-Wiprächtiger/Keller, Art. 47 N 120 ff; Trechsel/Affolter-Eijsten, Schweizerisches Strafgesetzbuch, Pra- xiskommentar, 2. Aufl., Art. 47 StGB N 22 ff.).</w:t>
      </w:r>
    </w:p>
    <w:p>
      <w:r>
        <w:rPr>
          <w:b/>
        </w:rPr>
        <w:t>E. 6</w:t>
      </w:r>
    </w:p>
    <w:p>
      <w:r>
        <w:t>Bezüglich der persönlichen Verhältnisse kann auf die diesbezüglichen zutref- fenden Ausführungen der Vorinstanz verwiesen werden (Urk. 48 S. 14 ff.). Heute ergänzte der Beschuldigte, er habe 2012-2015 ca. 500 bis 600 Euro pro Monat verdient. In den Jahren davor habe er etwa 100 Euro weniger verdient (Prot. II S. 9). Er habe ca. 3'500 Euro Schulden (Prot. II S. 10). Seiner Tochter gehe zur Schule, könne aber weder rennen noch sich körperlich anstrengen. Das könne sich aber noch auswachsen (Prot. II S. 12 f.). Im Einklang mit der Vorinstanz sind die persönlichen Verhältnisse des Beschuldigtenangesichts der diesbezüglich be- kannten Umstände strafzumessungsneutral zu werten. Der Beschuldigte weist in der Schweiz eine einschlägige Vorstrafe aus dem Jahre 2009 auf (Urk. 56). Eine weitere Vorstrafe besteht aus dem Jahre 2012 im Kosovo wegen einer körperlichen Auseinandersetzung mit seinem Bruder (Urk. 11/3 und Prot. II S. 13). Ferner liegt auch eine Vorstrafe in Norwegen aus dem Jahre 2004</w:t>
      </w:r>
    </w:p>
    <w:p>
      <w:r>
        <w:t>- 10 - wegen Urkundenfälschung vor (unakturierter norwegischer Strafregisterauszug vom 3. September 2009 der beigezogenen Akten, Aktenzeichen P/8482/2008). Diese darf ihm aber im Strafverfahren nicht mehr entgegengehalten werden, da sie nach Schweizer Recht aus dem Strafregister entfernt worden wäre (vgl. BGEr 1B_88/2015 vom 07.04.2015 E. 2.2.1). Namentlich der Umstand, dass er trotz der erstandenen Haft und des Strafverfahrens in Genf erneut und in identischer Wei- se mehrfach delinquierte, zeugt von einer gewissen Unbelehrbarkeit und ist deut- lich straferhöhend zu gewichten. Sein vollumfängliches Geständnis wird demge- genüber durch die erdrückende Beweislage in Form von DNA-Treffern erheblich relativiert und wirkt sich nur geringfügig zu Gunsten des Beschuldigten aus. Wie bereits die Vorinstanz zutreffend festhielt (Urk. 48 S. 15), ist der Umstand, dass seit der Tatbegehung über fünf Jahre vergangen sind, nicht verschuldensmin- dernd zu berücksichtigen, da hierfür insbesondere seine Flucht in den Kosovo ur- sächlich war. Demgegenüber ist mit der Verteidigung (Urk. 63 S. 7 f.) zu seinen Gunsten zu berücksichtigen, dass er sich seit der Tat während dreieinhalb Jahren wohlverhalten hat.</w:t>
      </w:r>
    </w:p>
    <w:p>
      <w:r>
        <w:rPr>
          <w:b/>
        </w:rPr>
        <w:t>E. 7</w:t>
      </w:r>
    </w:p>
    <w:p>
      <w:r>
        <w:t>Unter Berücksichtigung der erwähnten Strafzumessungsgründe ist die Einsatz- strafe um 3 Monate zu erhöhen. Der Beschuldigte ist demgemäss mit 27 Monaten Freiheitsstrafe zu bestrafen. Daran sind bis und mit heute insgesamt 665 Tage Untersuchungshaft und vorzeitiger Strafvollzug anzurechnen (Art. 51 StGB). III. Vollzug 1. Das Gericht kann den Vollzug einer Freiheitsstrafe von mindestens einem Jahr und höchstens drei Jahren teilweise aufschieben, wenn eine unbedingte Strafe nicht notwendig erscheint, um den Täter von der Begehung weiterer Verbrechen oder Vergehen abzuhalten und dies notwendig ist, um dem Verschulden des Tä- ters genügend Rechnung zu tragen (Art. 42 Abs. 1 StGB und Art. 43 Abs. 1 StGB). 2. Vorliegend ist eine Freiheitsstrafe von 27 Monaten auszufällen. Die objektiven Voraussetzungen zur Gewährung des teilbedingten Strafvollzuges sind damit er-</w:t>
      </w:r>
    </w:p>
    <w:p>
      <w:r>
        <w:t>- 11 - füllt. Subjektiv hingegen fällt ins Gewicht, dass der Beschuldigte mehrfach und teilweise einschlägig vorbestraft ist und er trotz der Verurteilungen und der mehr- monatigen Untersuchungshaft im Strafverfahren in Genf weiter delinquierte. Wie die Vorinstanz bereits zutreffend festhielt, zeugen seine Versuche, unter insge- samt drei Alias-Namen und entsprechend falschen Angaben Asyl in Norwegen und in der Schweiz zu erhalten, von einer augenfälligen Geringschätzung der Rechtsordnung. Zwar geht es seiner Tochter seinen Angaben zufolge wieder besser, was die Wahrscheinlichkeit, dass er Geld für medizinische Behandlungen benötigt, verringert. Allerdings hat er zugestandenermassen die Hälfte des De- liktserlöses, der ihm zufiel, für seinen Lebensunterhalt verbraucht, und seine Frau ist ebenfalls krank (Prot. II S. 12). Da er zudem in sehr bescheidenen finanziellen Verhältnissen lebt, ist daher ernsthaft zu befürchten, dass er aus finanziellen Gründen erneut delinquieren wird. Mangels positiver Legalprognose im Sinne von Art. 42 Abs. 1 StGB ist die Freiheitsstrafe von 27 Monaten folglich zu vollziehen. IV. Kosten- und Entschädigungsfolgen 1. Die Gerichtsgebühr ist auf Fr. 2'400.– festzusetzten. 2. Die Kosten des Rechtsmittelverfahrens tragen die Parteien nach Massgabe ih- res Obsiegens oder Unterliegens (Art. 428 Abs. 1 StPO). Ob bzw. inwieweit eine Partei im Sinne dieser Bestimmung obsiegt oder unterliegt, hängt davon ab, in welchem Ausmass ihre vor der zweiten Instanz gestellten Anträge gutgeheissen werden (Urteil des Bundesgerichts 6B_1025/2014 vom 9. Februar 2015 E. 2.4.1 mit Hinweisen; bestätigt in 6B_10/2015 vom 24. März 2015 E. 4.2.1). Vorliegend obsiegt die Staatsanwaltschaft teilweise mit ihrem Antrag zum Straf- mass, unterliegt aber bezüglich des ursprünglich ebenfalls angefochtenen Wider- rufs. Es rechtfertigt sich deshalb, dem Beschuldigten die Kosten des Berufungs- verfahrens – ausgenommen die Kosten der amtlichen Verteidigung - zu einem Drittel aufzuerlegen und im Übrigen auf die Gerichtskasse zu nehmen. Die Rück- zahlungspflicht im Umfang von einem Drittel für die Kosten der amtlichen Vertei- digung nach Art. 135 Abs. 4 StPO bleibt vorbehalten.</w:t>
      </w:r>
    </w:p>
    <w:p>
      <w:r>
        <w:t>- 12 - 3. Der amtliche Verteidiger ist für seine Bemühungen im Berufungsverfahren mit Fr. 6'500.– (Urk. 64)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