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SB160412 vom 24. Januar 2017</w:t>
      </w:r>
    </w:p>
    <w:p>
      <w:r>
        <w:t>ZH Obergericht, 2017-01-24, DE</w:t>
      </w:r>
    </w:p>
    <w:p>
      <w:r>
        <w:rPr>
          <w:b/>
        </w:rPr>
        <w:t xml:space="preserve">Quelle: </w:t>
      </w:r>
      <w:r>
        <w:t>https://mcp.opencaselaw.ch/entscheid/zh_obergericht_SB160412</w:t>
      </w:r>
    </w:p>
    <w:p>
      <w:r>
        <w:t>FR: ZH_OBERGERICHT SB160412 du 24 janvier 2017</w:t>
      </w:r>
    </w:p>
    <w:p>
      <w:r>
        <w:t>IT: ZH_OBERGERICHT SB160412 del 24 gennaio 2017</w:t>
      </w:r>
    </w:p>
    <w:p>
      <w:pPr>
        <w:pStyle w:val="Heading2"/>
      </w:pPr>
      <w:r>
        <w:t>Erwägungen</w:t>
      </w:r>
    </w:p>
    <w:p>
      <w:r>
        <w:rPr>
          <w:b/>
        </w:rPr>
        <w:t>E. 1</w:t>
      </w:r>
    </w:p>
    <w:p>
      <w:r>
        <w:t>Grundsätzlich sind die Regeln über die Zuständigkeit in Strafsachen zwin- gender Natur; insbesondere gibt es keine Einlassung oder Prorogation nach zivil- prozessualem Muster. Vor der materiellen Befassung hat daher jede Behörde in jedem Stadium des Verfahrens ihre Zuständigkeit von Amtes wegen zu überprü- fen (Fingerhuth/Lieber in: Donatsch/Hansjakob/Lieber, StPO Komm., Art. 22 N 2).</w:t>
      </w:r>
    </w:p>
    <w:p>
      <w:r>
        <w:rPr>
          <w:b/>
        </w:rPr>
        <w:t>E. 2</w:t>
      </w:r>
    </w:p>
    <w:p>
      <w:r>
        <w:t>Die Vorinstanz sah ihre Zuständigkeit gestützt auf § 22 i.V.m. § 27 Abs. 1 lit. b Ziff. 1 GOG und Art. 31 Abs. 2 StPO als gegeben, da die Zürcher Behörden erste Verfolgungshandlungen hinsichtlich der anklagegegenständlichen Taten vorgenommen hatten (Urk. 39 S. 4).</w:t>
      </w:r>
    </w:p>
    <w:p>
      <w:r>
        <w:rPr>
          <w:b/>
        </w:rPr>
        <w:t>E. 2.1</w:t>
      </w:r>
    </w:p>
    <w:p>
      <w:r>
        <w:t>Der ordentliche Strafrahmen ist trotz Vorliegens allfälliger Strafschärfungs- und Strafmilderungsgründe nur zu erweitern, wenn aussergewöhnliche Umstände vorliegen und die für die betreffende Tat angeordnete Strafe im konkreten Fall zu hart, respektive zu milde erscheint. Da der obere Strafrahmen vorliegend bereits bei 20 Jahren Freiheitsstrafe liegt, kann er ohnehin nicht mehr erweitert werden. Die Frage einer Unterschreitung des ordentlichen Strafrahmens kann sich stellen, wenn verschuldens- bzw. strafreduzierende Faktoren zusammentreffen, die einen objektiv an sich leichten Tatvorwurf weiter relativieren, so dass eine Strafe inner- halb des ordentlichen Rahmens dem Rechtsempfinden widerspräche (Art. 48, Art. 48a, Art. 49 Abs. 1, Art. 19 Abs. 2, Art. 22 Abs. 1 StGB; BGE 136 IV 55 E. 5.8 S. 63; Urteil des Bundesgerichts 6B_475/2011 vom 30. Januar 2012 E. 1.4.4). Das Gericht ist indessen verpflichtet, Strafschärfungsgründe zumindest straferhö- hend und Strafmilderungsgründe strafmindernd im Rahmen des ordentlichen Strafrahmens zu berücksichtigen (BGE 116 IV 300 E. 2.a).</w:t>
      </w:r>
    </w:p>
    <w:p>
      <w:r>
        <w:rPr>
          <w:b/>
        </w:rPr>
        <w:t>E. 2.2</w:t>
      </w:r>
    </w:p>
    <w:p>
      <w:r>
        <w:t>Als Strafschärfungsgrund liegt die mehrfache Tatbegehung vor. Dem ist in- nerhalb des Strafrahmens straferhöhend Rechnung zu tragen (Art. 49 Abs. 1 StGB). Strafmilderungsgründe sind nicht gegeben. Die Schuldfähigkeit des Be-</w:t>
      </w:r>
    </w:p>
    <w:p>
      <w:r>
        <w:t>- 17 - schuldigten im Tatzeitraum ist entgegen den Ausführungen der Verteidigung (Urk. 50 S. 4 f.) nicht vermindert (Art. 19 Abs. 2 StGB). Gemäss Gutachten des Instituts für Rechtsmedizin vom 23. Juni 2015 zur Haaranalyse war er lediglich als schwacher bis mittelstarker Kokainkonsument einzustufen (Urk. 12/3 S. 3). Es liegt daher keine relevante, die Schuldfähigkeit vermindernde Betäubungsmittel- abhängigkeit vor, wie sie bisweilen bei Beschaffungskriminellen vorkommt, zumal der Beschuldigte und seine Ehefrau im fraglichen Zeitraum über legale Einkünfte aus Arbeitserwerb oder entsprechenden Versicherungs-/Ersatzleistungen verfüg- ten (Prot. II S. 8 f., 16). Der Beschuldigte war demnach nicht von den Einkünften aus dem Drogenhandel abhängig.</w:t>
      </w:r>
    </w:p>
    <w:p>
      <w:r>
        <w:rPr>
          <w:b/>
        </w:rPr>
        <w:t>E. 2.3</w:t>
      </w:r>
    </w:p>
    <w:p>
      <w:r>
        <w:t>Aufgrund des direkten sachlichen Zusammenhangs der Betäubungsmittel- käufe von H._____, der Aufbewahrung von 118 Gramm Kokain und des Verkaufs von 30 Gramm Kokain an I._____ erscheint im Folgenden eine einheitliche Straf- zumessung für diese Vorgänge als sachgerecht (vgl. zu diesem Vorgehen: Urteil des Bundesgerichts 6B_1011/2014 vom 16. März 2015 E. 4.4). 3. Das Gericht misst die Strafe nach dem Verschulden des Täters zu. Es be- rücksichtigt das Vorleben und die persönlichen Verhältnisse sowie die Wirkung der Strafe auf dessen Leben (Art. 47 Abs. 1 StGB). Der Begriff des Verschuldens muss sich auf den gesamten Unrechts- und Schuldgehalt der konkreten Straftat beziehen. Zu unterscheiden ist zwischen Tat- und Täterkomponente. Als Grad- messer für die objektive Tatschwere dient das Mass der Beeinträchtigung des strafrechtlich geschützten Rechtsguts. Es lässt sich am Ausmass des verschulde- ten Erfolges hinsichtlich Deliktsbetrag, Gefährdung, Sachschaden etc. sowie an- hand der Art und Weise der Herbeiführung dieses Erfolges, der Willensrichtung, mit der der Täter gehandelt hat, und dessen Beweggründe bemessen. Weiter be- deutsam sind das Mass der Entscheidungsfreiheit beim Täter und die Intensität seines deliktischen Willens. Je leichter es für den Täter gewesen wäre, die ver- letzte Norm zu respektieren, desto schwerer wiegt die Entscheidung gegen diese (Hug, in: Donatsch/Flachsmann/Hug/Weder, Kommentar zum StGB, 19. Auflage, Zürich 2013, N 6 ff. zu Art. 47 StGB; Wiprächtiger/Keller, in: Basler Kommentar Strafrecht I, 3. Auflage, Basel 2013, N 85 zu Art. 47 StGB; Trechsel/Affolter-</w:t>
      </w:r>
    </w:p>
    <w:p>
      <w:r>
        <w:t>- 18 - Eijsten, in: Trechsel/Pieth, Schweizerisches Strafgesetzbuch, Praxiskommentar, 2. Auflage, Zürich/St. Gallen 2013, N 17 ff. zu Art. 47 StGB).</w:t>
      </w:r>
    </w:p>
    <w:p>
      <w:r>
        <w:rPr>
          <w:b/>
        </w:rPr>
        <w:t>E. 3</w:t>
      </w:r>
    </w:p>
    <w:p>
      <w:r>
        <w:t>Für die Verfolgung und Beurteilung einer Straftat sind die Behörden des Or- tes zuständig, an dem die Tat verübt worden ist (Art. 31 Abs. 1 1. Satz StPO). In Strafsachen ist für die Kompetenzbegründung der Tatbestand, wie er in der An- klage umschrieben ist, massgebend (Hauser/Schweri/Lieber, GOG-Kommentar, Einl. N 41). Der Anklage lässt sich entnehmen, dass der Beschuldigte seine Taten in E._____(SH) und Umgebung sowie an "verschiedenen" - und somit nicht be- kannten - Orten sowie einmal in der F._____ im Kanton Zürich begangen haben soll (Urk. 18 S. 2). Wegen dieser einen vorgeworfenen Tathandlung im Kanton Zürich lässt sich die Zuständigkeit der Zürcher Behörden auf Art. 31 Abs. 2 StPO stützen.</w:t>
      </w:r>
    </w:p>
    <w:p>
      <w:r>
        <w:rPr>
          <w:b/>
        </w:rPr>
        <w:t>E. 3.1</w:t>
      </w:r>
    </w:p>
    <w:p>
      <w:r>
        <w:t>Im Bereich des Betäubungsmittelstrafrechts ist zu berücksichtigen, dass der Drogenmenge und der daraus resultierenden Gefährdung bei der Bemessung der Strafe keine vorrangige Rolle zukommen darf (BGE 118 IV 342 ff.; BGE 121 IV 202 E. 2d/cc; Urteil des Bundesgerichts 6B_558/2011 vom 21. No- vember 2011 E. 3.3.2). Es wäre verfehlt, im Sinne eines Tarifs überwiegend oder gar allein auf dieses Kriterium abzustellen. Falsch wäre aber auch die Annahme, diesem Strafzumessungselement komme eine völlig untergeordnete oder gar kei- ne Bedeutung zu. Es ist nicht nebensächlich, ob jemand mit zwanzig oder zwei- hundert Gramm einer gefährlichen Droge handelt.</w:t>
      </w:r>
    </w:p>
    <w:p>
      <w:r>
        <w:rPr>
          <w:b/>
        </w:rPr>
        <w:t>E. 3.2</w:t>
      </w:r>
    </w:p>
    <w:p>
      <w:r>
        <w:t>Der Reinheitsgrad der Betäubungsmittel kann für das Verschulden von Be- deutung sein. Handelt der Täter wissentlich mit ausgesprochen reinen Drogen, ist das Verschulden schwerer, handelt er wissentlich mit besonders stark gestreckten Drogen, ist es leichter (BGE 122 IV 299). Steht indes nicht fest, dass der Be- schuldigte ein ausgesprochen reines oder besonders stark gestrecktes Betäu- bungsmittel liefern wollte, spielt der genaue Reinheitsgrad für die Gewichtung des Verschuldens und bei der Strafzumessung keine Rolle. Die genaue Betäubungs- mittelmenge und gegebenenfalls ihr Reinheitsgrad verlieren zudem an Bedeu- tung, wenn mehrere Qualifikationsgründe gemäss Art. 19 Ziff. 2 BetmG gegeben sind, und sie werden umso weniger wichtig, je deutlicher der Grenzwert im Sinne von Art. 19 Ziff. 2 lit. a BetmG überschritten ist (BGE 121 IV 193). 4. Die objektive Tatschwere bestimmt sich bei Drogendelikten neben der er- wähnten eher sekundären Bedeutung der Drogenmenge (BGE 121 IV 202) und der daraus folgenden Gesundheitsgefährdung namentlich auch nach der Art und Weise der Tatbegehung, der Willensrichtung, mit welcher der Täter gehandelt hat, und den Beweggründen (BGE 118 IV 348). Massgebend sind dabei u.a. die Häu- figkeit und Dauer der deliktischen Handlungen, die aufgewendete persönliche Energie, das gezeigte kriminelle Engagement, die hierarchische Stellung sowie die Grösse der erzielten oder angestrebten Gewinne. Daneben kommt es darauf an, wie der Täter mit der Droge in Kontakt gekommen ist und was er mit dieser</w:t>
      </w:r>
    </w:p>
    <w:p>
      <w:r>
        <w:t>- 19 - gemacht hat (Hug-Beeli, Betäubungsmitteldelikte 1983-1991, Zürich 1992, S. 429 f., 436 und 438). Nach der Rechtsprechung des Bundesgerichts trifft bei- spielsweise den Transporteur einer bestimmten Drogenmenge grundsätzlich ein geringeres Verschulden als denjenigen, der diese Betäubungsmittelmenge ver- kauft oder zum Zwecke des Weiterverkaufs erwirbt (Wiprächtiger/Keller, a.a.O., N 93 f. zu Art. 47 StGB; BGE 121 IV 206). Weiter beachtlich ist auch eine allfällige Drogenabhängigkeit des Täters, ob er ausschliesslich des Geldes wegen handel- te, ohne sich in einer finanziellen Notlage zu befinden, oder ob er es ablehnt zu arbeiten, obwohl es ihm möglich wäre, und er es vorzieht, durch den Drogenhan- del seinen Lebensunterhalt zu verdienen (BGE 107 IV 62 f.; BGE 118 IV 349). Daraus ergibt sich, dass nicht einem einzelnen, der aufgeführten Kriterien für die Beurteilung des Verschuldens eine überwiegende Bedeutung zukommt. Der Ein- bezug all dieser Kriterien und deren Gesamtwürdigung führt schliesslich zur Ge- wichtung der Tatschwere und des Verschuldens.</w:t>
      </w:r>
    </w:p>
    <w:p>
      <w:r>
        <w:rPr>
          <w:b/>
        </w:rPr>
        <w:t>E. 3.3</w:t>
      </w:r>
    </w:p>
    <w:p>
      <w:r>
        <w:t>Zu bestimmen bleibt schliesslich der Reinheitsgehalt der von H._____ bezo- genen 300 Gramm Kokain. Die Vorinstanz ging diesbezüglich anklagegemäss von einem Reinheitsgehalt von 53% aus. Sie begründete dies damit, dass der Beschuldigte gemäss dessen Aus-</w:t>
      </w:r>
    </w:p>
    <w:p>
      <w:r>
        <w:t>- 12 - sagen hauptsächlich von H._____ Kokain bezogen habe und dass das in dessen Garage sichergestellte Kokain einen Reinheitsgehalt von 53% aufgewiesen habe (Urk. 39 S. 30 Ziff. 2 und S. 35, Ziff. 4.1.). Dem kann aus den nachfolgend darzulegenden Gründen nicht gefolgt werden. So lässt sich entsprechend den Ausführungen der Verteidigung (Urk. 25 S. 9; Urk. 50 S. 5, 8 f.; Prot. II 23) nicht zweifelsfrei nachweisen (Art. 10 Abs. 3 StPO), dass die in der Garage sichergestellten 118 Gramm Kokain die gleiche Herkunft wie die bei H._____ bezogenen 300 Gramm Kokain haben. Damit aber kann nicht davon ausgegangen werden, dass auch die 300 Gramm einen Reinheitsgehalt von 53% aufgewiesen haben. Es ist daher diesbezüglich daher zu Gunsten des Beschuldigten von einem gassenüblichen Reinheitsgrad von 33% auszugehen (Fingerhuth/Tschurr, BetmG Kommentar, 2. Auflage, Zürich 2007, N 176 zu Art. 19 BetmG; vgl. auch BGE 6B_892/2010 vom 22. Dezember 2010, E. 1.4 und 6B_13/2012 vom 19. April 2012, E. 1.3.1.). Diesen gassenüblichen Reinheitsgrad scheint die Vorinstanz denn auch ihrer Würdigung der an I._____ verkauften ins- gesamt 30 Gramm Kokaingemisch (Anklageziffer 4) zu Grunde gelegt zu haben (Urk. 39 S. 29 f. und S. 31 S. 4.). Schliesslich bleibt darauf hinzuweisen, dass selbst die Verteidigung beantragt, diesbezüglich von einem gassenüblichen Rein- heitsgrad auszugehen (Urk. 50 S. 9). Der von ihr als gassenüblich bezeichnete Reinheitsgrad von 11% bis 15% erscheint allerdings unter Hinweis auf die oben zitierte Lehre und gefestigte Praxis als eindeutig zu tief (Prot. II S. 23; vgl. auch Urk. 25 S. 10 m.H. auf Urk. 8.4).</w:t>
      </w:r>
    </w:p>
    <w:p>
      <w:r>
        <w:rPr>
          <w:b/>
        </w:rPr>
        <w:t>E. 3.4</w:t>
      </w:r>
    </w:p>
    <w:p>
      <w:r>
        <w:t>Es ist demnach erstellt, dass der Beschuldigte in der Zeit zwischen dem 24. Oktober 2014 und dem 23. Januar 2015 von H._____ insgesamt 300 Gramm Kokain (reine Menge 99 Gramm) bezog.</w:t>
      </w:r>
    </w:p>
    <w:p>
      <w:r>
        <w:rPr>
          <w:b/>
        </w:rPr>
        <w:t>E. 4</w:t>
      </w:r>
    </w:p>
    <w:p>
      <w:r>
        <w:t>Beweiswürdigung Anklageziffer 3 Die Vorinstanz hat die Aussagen des Beschuldigten und der Auskunftspersonen K._____, L._____ und I._____ zutreffend zusammengefasst und wiedergegeben, weshalb, um unnötige Wiederholungen zu vermeiden, vollumfänglich darauf ver- wiesen werden kann (Urk. 39 S. 24 ff.).</w:t>
      </w:r>
    </w:p>
    <w:p>
      <w:r>
        <w:t>- 13 - Dasselbe gilt für die Würdigung dieser Aussagen und der weiteren Indizien. Auch diese erweist sich in jeder Hinsicht als zutreffend. Auf Grund der gesamten Umstände liegt der Schluss, wonach der Beschuldigte dem Drogenhandel in der angeklagten Weise nachgegangen ist, sehr nahe. An- ders lassen sich insbesondere seine wirtschaftlichen Verhältnisse auch nicht er- klären. Seine Familie lebte vergleichsweise komfortabel. Insbesondere er selbst feierte in den 2 bis 3 Jahren vor seiner Verhaftung ausgiebig, das heisst wöchentlich Par- tys, bei denen der Konsum von Kokain von zentraler Bedeutung war. Gemäss seinen eigenen Angaben will er monatlich eine Drogenmenge konsumiert haben, welche einem Wert von rund Fr. 3'000.00 entspricht (Urk. 6/5 S. 5). Sehr oft besuchte er auch mit der ganzen Familie das "N._____ [Freizeitpark]", welcher Besuch für eine Familie jedes mal mit Fr. 400.00 und mehr zu Buche schlug (Urk. 6/4 S. 6 f.). Danebst reichte das Geld auch aus, um seine Mutter und die übrige Familie in O._____ [Land in der Karibik] zu alimentieren (Urk. 6/4 S. 2). Sein Einkommen belief sich dabei aber gerade mal auf rund Fr. 5'000.00, was zur Finanzierung dieses Lebenswandels nicht ausreicht, zumal er im Anklagezeitraum frei von Schulden war (Urk. 6/8). Erst als er seitens der Staatsanwaltschaft mit diesen Zahlen konfrontiert und ihm vorgerechnet wurde, dass die Rechnung nicht aufgeht, gab er an, beim Glücks- spiel in Casinos Fr. 35'000.00 gewonnen zu haben (Urk. 6/5 S. 5; Prot. II S. 16 f.). Dass der Beschuldigte auch in diesem Punkt nicht die Wahrheit erzählt, ergibt sich indes zweifelsfrei aus der Bestätigung der P._____ vom 8. Juli 2015, wonach er seit dem 3. Juni 2012 mit einer landesweiten Spielsperre belegt gewesen sei, und selbst im davor liegendem Zeitraum nach dem 7. Dezember 2010 keine GwG relevanten Transaktionen oder Jackpot-Auszahlungen getätigt worden seien (Urk. 6/6, Anhang). Die Vermutung, dass der Beschuldigte aus dem Betäubungsmittel- handel wesentliche Einkünfte erzielte, liegt somit mehr als nahe. Diese wird zu-</w:t>
      </w:r>
    </w:p>
    <w:p>
      <w:r>
        <w:t>- 14 - sätzlich durch den Umstand genährt, dass sich im Adressverzeichnis seines Mo- biltelefons zahlreiche Anschlüsse von Drogenkonsumenten fanden. Indes konnte die Untersuchung diese Vermutungen nicht in einem Mass erhärten, dass sie Grundlage für eine rechtsgenügliche Anklage hätten bilden können, zu- mal sich auch aus den Einvernahmen der übrigen Personen keine konkreten Be- lastungen ergeben und keine konkreten Hinweise auf Mengen, Reinheitsgrad und Preise bestehen. Der Beschuldigte ist somit vom Vorwurf gemäss Anklageziffer 3 frei zu sprechen.</w:t>
      </w:r>
    </w:p>
    <w:p>
      <w:r>
        <w:rPr>
          <w:b/>
        </w:rPr>
        <w:t>E. 4.1</w:t>
      </w:r>
    </w:p>
    <w:p>
      <w:r>
        <w:t>Was die objektive Schwere der Tat anbelangt, ist beim „Ausmass des tatbe- standsmässigen Erfolges“ zunächst zu berücksichtigen, dass der Beschuldigte in einem längeren Zeitraum von rund 2 ¼ Jahren (anfangs 2013 [Urk. 7/7 S. 3] bis 30. März 2015 [Verhaftung]) – allerdings nicht ununterbrochen – aufgeteilt in un- terschiedliche Teilmengen mit insgesamt rund 170 Gramm reinem Kokainhydro- chlorid mit einem Reinheitsgrad von zwischen 53% bis ca. 33% gehandelt hat. Damit erfüllte der Beschuldigte das Qualifikationsmerkmal des mengenmässig schweren Falles im Sinne von Art. 19 Abs. 2 lit. a BetmG x-fach und verursachte eine entsprechend grosse Gesundheitsgefährdung. Daneben erzielte er einen luk- rativen Nebenverdienst von einigen tausend Franken. Dabei betätigte er sich beispielsweise nicht lediglich als einmaliger Kurier oder Bunkerhalter für die Gesamtmenge. Vielmehr nahm er verteilt über den Delikts- zeitraum diverse Einzelhandlungen mit Teilmengen von diesen Drogen vor. Ab einem unbekannten Zeitpunkt bis zu seiner Verhaftung am 30. März 2015 be- wahrte er 118 Gramm Kokaingemisch mit einem Reinheitsgehalt von 53% bei sich in der Garagenbox auf, um diese in der Folge zu verkaufen. An nicht im Ein- zelnen bekannten Daten in der Zeit zwischen dem 24. Oktober 2014 und dem</w:t>
      </w:r>
    </w:p>
    <w:p>
      <w:r>
        <w:t>- 20 - 23. Januar 2015 kaufte er bei H._____ insgesamt 300 Gramm Kokaingemisch (Reinheitsgehalt 33%) in Teilmengen von jeweils 50 Gramm. Und an I._____ ver- kaufte er im Zeitraum von anfangs 2013 bis Mitte 2014 insgesamt mindestens 30 Gramm Kokaingemisch mit einem Reinheitsgehalt von 33% in Teilmengen von ca. 1 Gramm zum Konsum. Dies zeigt eindrücklich, wie der Beschuldigte über den gesamten Deliktszeitraum ständig immer wieder seinen illegalen Drogenhan- delsaktivitäten nachgegangen ist und zeugt von seinem beachtlichen kriminellen Engagement. Entgegen der Auffassung der Vorinstanz (Urk. 39 S. 35) gehörte der Beschuldigte angesichts all dieser Aktivitäten im Kokainhandel nicht der un- tersten Hierarchiestufe des Drogenhandels, z.B. als blosser Gassendealer, an. Andererseits zog er auch nicht auf einer höheren Stufe die Fäden in einer Grup- pe, sondern betätigte sich mehr oder weniger autonom als Kleindealer. Als vermeintlich sicheren Ort für die Aufbewahrung und Verarbeitung des Kokains hat der Beschuldigte eine eigens dafür vorgesehene unauffällige Garagenbox in seinem Wohnquartier benutzt. In der Mobilkommunikation mit seiner Lieferantin H._____ bediente er sich bisweilen einer codierten Sprache ("Vorhangstoff" oder "Q._____" für Fingerling; Urk. 7/1 S. 7), um den illegalen Inhalt der Gespräche vor den Behörden zu verschleiern (Urk. 6/2; Urk. 6/4, Anhang; Urk. 6/3 S. 6), was al- les beispielhaft für seine kriminelle Energie ist. Der Beschuldigte liess nicht aus eigenem Antrieb von seinem regen Kokainhandel ab. Dieser wurde erst durch seine Verhaftung vom 30. März 2015 durch behördlichen Zwang ein Ende ge- setzt.</w:t>
      </w:r>
    </w:p>
    <w:p>
      <w:r>
        <w:rPr>
          <w:b/>
        </w:rPr>
        <w:t>E. 4.2</w:t>
      </w:r>
    </w:p>
    <w:p>
      <w:r>
        <w:t>Angesichts des langen Deliktszeitraumes, der Vielzahl an einzelnen Dro- gengeschäften und der Gesamtmenge von rund 170 Gramm reinem Kokain ist die objektive Tatschwere im Rahmen der qualifizierten Widerhandlung gegen das Be- täubungsmittelgesetz als nicht mehr leicht einzustufen und die hypothetische Ein- satzstrafe einstweilen auf 30 Monate Freiheitsstrafe festzusetzen (vgl. auch Hug- Beeli, Kommentar Betäubungsmittelgesetz, Zürich/Basel 2016, N 273 zu Art. 26 BetmG, mit Veweis auf Fingerhuth/Tschurr). 5. Bei der subjektiven Tatschwere ist zu gewichten, dass der Beschuldigte sei- nen regen Kokainhandel direktvorsätzlich, aus rein geldwerten Motiven und – ent-</w:t>
      </w:r>
    </w:p>
    <w:p>
      <w:r>
        <w:t>- 21 - gegen der Auffassung der Verteidigung (Urk. 34 S. 17; Urk. 43 S. 3 f.; Urk. 50 S. 5) – nicht zur Finanzierung seiner eigenen Betäubungsmittelabhängigkeit be- trieben hat. Im Gegenteil bestehen keine Zweifel an seiner im Tatzeitraum voll er- haltenen Schuldfähigkeit. Das Ausmass seines Kokainkonsums hat nachweislich auch nicht dazu geführt, dass seine Schuldfähigkeit vermindert gewesen wäre (vgl. vorne E. V.2.2.). Nachdem der Beschuldigte für sich und seine Familie im Deliktszeitraum über ge- nügend legale Einkünfte verfügte, wäre es für ihn ohne weiteres möglich gewe- sen, sich mit diesen Einkünften zu begnügen. Stattdessen war er aus seiner freien Entscheidung heraus bestrebt, Nebeneinkünfte durch den Kokainhandel zu erzielen, ohne von irgend einer Seite dazu gedrängt oder angewiesen worden zu sein. Aufgrund seines Eigenkonsums mussten ihm die Gefahren und das Abhängig- keitspotential von Kokain bekannt sein. Trotz dieser Kenntnisse versorgte er seine Abnehmer mit diesem gefährlichen Stoff. Damit vermag die subjektive Schwere der Tat die objektive Tatschwere nicht zu relativieren. Insgesamt ist das Verschulden daher als nicht mehr leicht zu qualifi- zieren, was eine hypothetische Einsatzstrafe von 30 Monaten oder eben 2 ½ Jah- ren Freiheitsstrafe als angemessen erscheinen lässt.</w:t>
      </w:r>
    </w:p>
    <w:p>
      <w:r>
        <w:rPr>
          <w:b/>
        </w:rPr>
        <w:t>E. 5</w:t>
      </w:r>
    </w:p>
    <w:p>
      <w:r>
        <w:t>Beweiswürdigung Anklageziffer 4 In diesem Punkt kann vollumfänglich auf die zutreffenden Ausführungen der Vor- instanz verwiesen werden (Urk. 39 S. 28 ff.). Das diesbezügliche Aussageverhalten des Beschuldigten erweist sich als wider- sprüchlich. Einerseits bestritt er konstant, an I._____ Drogen verkauft zu haben. Auf der anderen Seite gab er zu, von diesem Geld für Kokain erhalten zu haben (Urk. 6/5 S. 14, 6/7 S. 2, 6/8 S. 7, Prot. I S. 20 f.; Prot. II S. 17 f.). Dieser Umstand wird auch von I._____ selbst bestätigt (Urk. 7/7 S. 4). Hinsichtlich der bezogenen Menge sind seine Aussagen nicht ganz konstant, was ohne Weiteres durch den Umstand zu erklären ist, dass I._____ sich durch seine Aussagen auch selbst be- lastete und es nahe liegt, dass er, nicht zuletzt auch wegen der persönlichen Ver- bundenheit zum Beschuldigten, in diesem Punkt eher zurückhaltend aussagte. Dass er den Beschuldigten und damit auch sich selbst in diesem Punkt zu Un- recht belastete, ist nicht ersichtlich, weshalb in diesem Punkt von dessen Anga- ben auszugehen ist. Bezüglich des Reinheitsgrads der an I._____ verkauften 30 Gramm Kokain ist zu beachten, dass die anklagegegenständlichen Verkäufe zwischen anfangs 2013 und Mitte 2014 erfolgten. Die untersuchten 5,3 Gramm (Anklageziffer 1), welche einen Reinheitsgrad von lediglich 11% aufwiesen, wurden erst am 28. März 2015 sichergestellt (Urk. 3 S. 11). Aus diesem Ergebnis lässt sich deshalb kein Rück- schluss auf den Reinheitsgrad der ca. ein Jahr früher an I._____ verkauften Dro- gen ziehen. Gegen die Annahme einer derart schlechten Qualität spricht ferner</w:t>
      </w:r>
    </w:p>
    <w:p>
      <w:r>
        <w:t>- 15 - der Umstand, dass sich I._____ in seinen Befragungen mit keinem Wort über die Qualität des vom Beschuldigten erhaltenen Kokains beklagte und dafür jeweils ei- nen Grammpreis von Fr. 80.– bezahlte (Urk. 7/5 S. 3 ff.; Urk. 7/7, insbes. S. 4, Antwort auf Frage 21). Diese Anhaltspunkte deuten vielmehr auf eine durch- schnittliche Qualität der 30 Gramm Kokain. Die Anwendung des Erfahrungs- grundsatzes mit einem Reinheitsgrad von 33 % erweist sich somit als gerechtfer- tigt (vgl. vorstehend E. 3.3). Der Anklagesachverhalt ist demzufolge in diesem Punkt erstellt.</w:t>
      </w:r>
    </w:p>
    <w:p>
      <w:r>
        <w:rPr>
          <w:b/>
        </w:rPr>
        <w:t>E. 6</w:t>
      </w:r>
    </w:p>
    <w:p>
      <w:r>
        <w:t>Bei der Würdigung der Täterkomponente kann die verschuldensangemes- sene Strafe aufgrund von Umständen, die mit der Tat grundsätzlich nichts zu tun haben, erhöht oder herabgesetzt werden. Massgebend hierfür sind im Wesent- lichen täterbezogene Komponenten wie die persönlichen Verhältnisse, Vorstrafen, Leumund, Strafempfindlichkeit und Nachtatverhalten, wie Geständnis, Einsicht, Reue etc. (Hug, in: Donatsch/Flachsmann/Hug/Weder, a.a.O., N 14 ff. zu Art. 47 StGB).</w:t>
      </w:r>
    </w:p>
    <w:p>
      <w:r>
        <w:rPr>
          <w:b/>
        </w:rPr>
        <w:t>E. 6.1</w:t>
      </w:r>
    </w:p>
    <w:p>
      <w:r>
        <w:t>Bezüglich der persönlichen und finanziellen Verhältnisse des Beschuldigten kann auf die ausführlichen und sorgfältigen Ausführungen der Vorinstanz verwie- sen werden (Urk 39 S. 36 f.). Anlässlich der Berufungsverhandlung gab er hin-</w:t>
      </w:r>
    </w:p>
    <w:p>
      <w:r>
        <w:t>- 22 - sichtlich seiner Situation seit dem erstinstanzlichen Urteil an, dass er inzwischen von seiner Frau gerichtlich getrennt sei. Für die gemeinsame Tochter müsse er einen Unterhaltsbeitrag von Fr. 470.– bezahlen. Seine 13-jährige Tochter lebe bei ihm. Seit dem 2. August 2016 arbeite er in Festanstellung wieder bei der Firma R._____ AG. Er verdiene Fr. 27.90 pro Stunde und erhalte monatlich ca. Fr. 5'000.–. Aktuell sei er drogenabstinent (Prot. II S. 8 - 10). Aus den persönli- chen Verhältnissen des Beschuldigten ergeben sich keine strafzumessungsrele- vanten Faktoren.</w:t>
      </w:r>
    </w:p>
    <w:p>
      <w:r>
        <w:rPr>
          <w:b/>
        </w:rPr>
        <w:t>E. 6.2</w:t>
      </w:r>
    </w:p>
    <w:p>
      <w:r>
        <w:t>In Bezug auf das Vorleben und das Nachtatverhalten des Beschuldigten ist zwar sein (Teil-)geständnis strafmindernd zu berücksichtigen. Diesbezüglich ist aber zu beachten, dass dem Beschuldigten insbesondere hinsichtlich der Aufbe- wahrung und des Verkaufs an I._____ auf Grund der erdrückenden Beweislage auch kaum etwas anderes übrig blieb. Worin vorliegend die geltend gemachte Einsichtigkeit des Beschuldigten liegen sollte, wie dies die Verteidigung vor erster Instanz noch geltend machte, ist nicht ersichtlich. Alleine der Umstand, dass er heute keine Drogen mehr konsumiert und sich damit an die geltende Rechtsord- nung hält, ist es jedenfalls nicht. Einsicht und Reue kommen an dieser Stelle eben so wenig zum Ausdruck wie in den übrigen Akten. Der Beschuldigte ist teilweise einschlägig vorbestraft und delinquierte während laufender Probezeit, was straf- erhöhend zu veranschlagen ist. Im Ergebnis gleichen sich jedoch die straferhö- henden und -mindernden Komponenten aus, so dass es bei der hypothetisch festgesetzten Einsatzstrafe bleibt.</w:t>
      </w:r>
    </w:p>
    <w:p>
      <w:r>
        <w:rPr>
          <w:b/>
        </w:rPr>
        <w:t>E. 7</w:t>
      </w:r>
    </w:p>
    <w:p>
      <w:r>
        <w:t>Der Beschuldigte ist nach Berücksichtigung aller strafzumessungsrelevanter Komponenten demnach mit einer Freiheitsstrafe von 30 Monaten bzw. 2 ½ Jah- ren zu bestrafen.</w:t>
      </w:r>
    </w:p>
    <w:p>
      <w:r>
        <w:rPr>
          <w:b/>
        </w:rPr>
        <w:t>E. 8</w:t>
      </w:r>
    </w:p>
    <w:p>
      <w:r>
        <w:t>Wie die Vorinstanz zu Recht erwog, ist die Ausfällung einer Zusatzstrafe vor- liegend nicht gerechtfertigt. Auf die entsprechenden Erwägungen kann vollum- fänglich verwiesen werden (Urk. 39 S. 37 f.).</w:t>
      </w:r>
    </w:p>
    <w:p>
      <w:r>
        <w:rPr>
          <w:b/>
        </w:rPr>
        <w:t>E. 9</w:t>
      </w:r>
    </w:p>
    <w:p>
      <w:r>
        <w:t>In Bezug auf die Bemessung der für den Kokainkonsum (Anklageziffer 5) auszufällenden Busse und bezüglich der Anrechnung der Untersuchungshaft</w:t>
      </w:r>
    </w:p>
    <w:p>
      <w:r>
        <w:t>- 23 - kann vollumfänglich auf die zutreffenden Erwägungen der Vorinstanz verwiesen werden (Urk. 39 S. 39).</w:t>
      </w:r>
    </w:p>
    <w:p>
      <w:r>
        <w:rPr>
          <w:b/>
        </w:rPr>
        <w:t>E. 10</w:t>
      </w:r>
    </w:p>
    <w:p>
      <w:r>
        <w:t>Demgemäss erweisen sich die ausgefällte Freiheitsstrafe von 30 Monaten und Fr. 400.00 Busse als angemessen, wobei letztere im Falle schuldhaften Nichtbezahlens durch 4 Tage Ersatzfreiheitsstrafe zu verbüssen ist. Der Anrech- nung von 200 Tagen Untersuchungshaft steht nichts entgegen. VI. Vollzug der Strafe 1. Das Gericht kann den Vollzug einer Freiheitsstrafe von mindestens einem und höchstens drei Jahren nur teilweise aufschieben, wenn dies notwendig ist, um dem Verschulden des Täters genügend Rechnung zu tragen (Art. 43 Abs. 1 StGB). Der Beschuldigte ist mit einer Freiheitsstrafe von 30 Monaten zu bestrafen. Die objektiven Voraussetzungen für die Gewährung des teilbedingten Vollzugs sind somit erfüllt. Die Vorinstanz hat zutreffend erwogen, dass im vorliegenden Fall auch die subjektive Voraussetzung der günstigen Prognose erfüllt ist. Um unnöti- ge Wiederholungen zu vermeiden, kann auf die entsprechenden Erwägungen der Vorinstanz verwiesen werden (Urk. 39 S. 40). Demzufolge ist dem Beschuldigten der teilbedingte Strafvollzug zu gewähren. 2. Erkennt das Gericht auf eine teilbedingte Strafe, so hat es den aufgescho- benen und den zu vollziehenden Strafteil festzusetzen und die beiden Teile in ein angemessenes Verhältnis zu bringen. Nach Art. 43 StGB muss der unbedingt vollziehbare Teil mindestens sechs Monate betragen (Abs. 3), darf aber die Hälfte der Strafe nicht übersteigen (Abs. 2). Innerhalb des gesetzlichen Rahmens liegt die Festsetzung im pflichtgemässen Ermessen des Gerichts. Als Bemessungsre- 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 tiger die Prognose und je kleiner die Vorwerfbarkeit der Tat, desto grösser muss</w:t>
      </w:r>
    </w:p>
    <w:p>
      <w:r>
        <w:t>- 24 - der auf Bewährung ausgesetzte Strafteil sein. Der unbedingte Strafteil darf dabei das unter Verschuldensgesichtspunkten (Art. 47 StGB) gebotene Mass nicht un- terschreiten (BGE 136 IV 1 E. 5.3; Urteil des Bundesgerichts 6B_51/2016 vom 3. Juni 2016, E. 5.3). In Anbetracht des nicht mehr leichten Verschuldens des Beschuldigten (vgl. vorne E. V. 4.5 f.) und der höheren Wahrscheinlichkeit der Legalbewährung bei Beibe- haltung der festen Arbeitsanstellung erscheint es angemessen, den Vollzug der heute auszusprechenden Freiheitsstrafe im Umfang von 18 Monaten aufzuschie- ben und im Umfang der verbleibenden 12 Monate anzuordnen. Die Probezeit ist für den aufzuschiebenden Teil der Strafe auf zwei Jahre festzusetzen. VII. Widerruf Auch hierzu kann, um unnötige Wiederholungen zu vermeiden, vollumfänglich auf die Ausführungen der Vorinstanz verwiesen werden (Art. 82 Abs. 4 StPO, Urk. 39 S. 41 ff.). Insbesondere ist der Vorinstanz darin zuzustimmen, dass das Verschulden der neuen Tat, insbesondere in Relation zur zu widerrufenden Tat, erheblich wiegt. Aber nicht nur verschuldensmässig, sondern auch insgesamt wiegt das neue De- likt wesentlich schwerer, weshalb der Widerruf insbesondere auch nicht zu einer unverhältnismässigen Härte führen würde, was im Rahmen der Gesamtwürdigung zu vermeiden wäre (BSK StGB, a.a.O., Art. 46 N 44). Der Widerruf der mit Strafbefehl der Staatsanwaltschaft Schaffhausen vom 28. April 2014 ausgefällten bedingten Geldstrafe von 90 Tagessätzen zu Fr. 80.00 ist daher zu bestätigen. VIII. Kosten und Entschädigungsfolgen Die Kosten des Berufungsverfahrens tragen die Parteien nach Massgabe ihres Obsiegens und Unterliegens (Art. 428 Abs. 1 StPO). Der Beschuldigte unterliegt mit seinen Anträgen weitgehend. Die Reduktion des Strafmasses erfolgte in An-</w:t>
      </w:r>
    </w:p>
    <w:p>
      <w:r>
        <w:t>- 25 - wendung des richterlichen Ermessens und rechtfertigt keine Kostenausscheidung. Die Staatsanwaltschaft unterliegt mit ihrer Anschlussberufung ebenfalls. Die Kos- ten des Berufungsverfahrens – mit Ausnahme derjenigen der amtlichen Verteidi- gung – sind deshalb zu zwei Drittel dem Beschuldigten aufzuerlegen und zu ei- nem Drittel auf die Gerichtskasse zu nehmen. Die Kosten der amtlichen Verteidi- gung sind auf die Gerichtskasse zu nehmen. Die Rückzahlungspflicht im Umfang von zwei Drittel ist vorzubehalten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