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SB160404 vom 20. Oktober 2016</w:t>
      </w:r>
    </w:p>
    <w:p>
      <w:r>
        <w:t>ZH Obergericht, 2016-10-20, DE</w:t>
      </w:r>
    </w:p>
    <w:p>
      <w:r>
        <w:rPr>
          <w:b/>
        </w:rPr>
        <w:t xml:space="preserve">Quelle: </w:t>
      </w:r>
      <w:r>
        <w:t>https://mcp.opencaselaw.ch/entscheid/zh_obergericht_SB160404</w:t>
      </w:r>
    </w:p>
    <w:p>
      <w:r>
        <w:t>FR: ZH_OBERGERICHT SB160404 du 20 octobre 2016</w:t>
      </w:r>
    </w:p>
    <w:p>
      <w:r>
        <w:t>IT: ZH_OBERGERICHT SB160404 del 20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des Bezirksgerichts Pfäffikon, Einzelgericht Strafsachen, vom</w:t>
      </w:r>
    </w:p>
    <w:p>
      <w:r>
        <w:rPr>
          <w:b/>
        </w:rPr>
        <w:t>E. 4</w:t>
      </w:r>
    </w:p>
    <w:p>
      <w:r>
        <w:t>Ausgangsgemäss sind die Kosten für das Berufungsverfahren auf die Ge- richtskasse zu nehmen. Die amtliche Verteidigung ist für die im Berufungsverfah- ren entstandenen Aufwendungen mit Fr. 213.85 zu entschädigen (Urk. 62/1-3).</w:t>
      </w:r>
    </w:p>
    <w:p>
      <w:r>
        <w:t>- 3 -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