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SB160352 vom 8. September 2016</w:t>
      </w:r>
    </w:p>
    <w:p>
      <w:r>
        <w:t>ZH Obergericht, 2016-09-08, DE</w:t>
      </w:r>
    </w:p>
    <w:p>
      <w:r>
        <w:rPr>
          <w:b/>
        </w:rPr>
        <w:t xml:space="preserve">Quelle: </w:t>
      </w:r>
      <w:r>
        <w:t>https://mcp.opencaselaw.ch/entscheid/zh_obergericht_SB160352</w:t>
      </w:r>
    </w:p>
    <w:p>
      <w:r>
        <w:t>FR: ZH_OBERGERICHT SB160352 du 8 septembre 2016</w:t>
      </w:r>
    </w:p>
    <w:p>
      <w:r>
        <w:t>IT: ZH_OBERGERICHT SB160352 del 8 settembre 2016</w:t>
      </w:r>
    </w:p>
    <w:p>
      <w:pPr>
        <w:pStyle w:val="Heading2"/>
      </w:pPr>
      <w:r>
        <w:t>Erwägungen</w:t>
      </w:r>
    </w:p>
    <w:p>
      <w:r>
        <w:rPr>
          <w:b/>
        </w:rPr>
        <w:t>E. 1</w:t>
      </w:r>
    </w:p>
    <w:p>
      <w:r>
        <w:t>Mit Urteil des Bezirksgerichts Zürich, 10. Abteilung - Einzelgericht, vom 20. April 2016 wurde der Beschuldigte vom Vorwurf des Angriffs im Sinne von Art. 134 StGB freigesprochen und die Schadenersatz- sowie Genugtuungs- begehren der Privatkläger C._____ und A._____ wurden abgewiesen (Urk. 85 S. 17). Das Urteil wurde dem Beschuldigten anlässlich der Hauptverhandlung vom 20. April 2016 im Beisein seines amtlichen Verteidigers mündlich eröffnet, kurz begründet und übergeben (Prot. I S. 20). Der Anklagebehörde und den Pri- vatklägern wurde das Urteilsdispositiv schriftlich zugestellt (Urk. 80/1-3). Der Pri- vatkläger A._____ liess mit Eingabe vom 6. Mai 2016 Berufung gegen das Urteil anmelden (Urk. 81). Am 11. August 2016 wurde das begründete Urteil seinem Rechtsvertreter zugestellt (Urk. 84/4).</w:t>
      </w:r>
    </w:p>
    <w:p>
      <w:r>
        <w:rPr>
          <w:b/>
        </w:rPr>
        <w:t>E. 2</w:t>
      </w:r>
    </w:p>
    <w:p>
      <w:r>
        <w:t>Aufl. 2014, Art. 399 N 2; vgl. auch Urteil des Bundesgerichts 6B_458/2013 vom</w:t>
      </w:r>
    </w:p>
    <w:p>
      <w:r>
        <w:rPr>
          <w:b/>
        </w:rPr>
        <w:t>E. 4</w:t>
      </w:r>
    </w:p>
    <w:p>
      <w:r>
        <w:t>Im Rechtsmittelverfahren tragen die Parteien die Kosten nach Massgabe ih- res Obsiegens oder Unterliegens. Das Nichteintreten auf das Rechtsmittel des Privatklägers A._____ kommt einem Unterliegen gleich (Art. 428 Abs. 1 StPO). Somit sind ihm die Kosten für das Berufungsverfahren aufzuerlegen. Die Ge- richtsgebühr ist auf Fr. 600.– festzusetzen. Der amtlichen Verteidigung sind im Berufungsverfahren keine Aufwendungen entstanden (Urk. 87). Auch Aufwen- dungen des unentgeltlichen Vertreters des Privatklägers C._____ sind nicht er- sichtlich. Entsprechend sind für das Berufungsverfahren keine Entschädigungen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