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SB160341 vom 2. Dezember 2016</w:t>
      </w:r>
    </w:p>
    <w:p>
      <w:r>
        <w:t>ZH Obergericht, 2016-12-02, DE</w:t>
      </w:r>
    </w:p>
    <w:p>
      <w:r>
        <w:rPr>
          <w:b/>
        </w:rPr>
        <w:t xml:space="preserve">Quelle: </w:t>
      </w:r>
      <w:r>
        <w:t>https://mcp.opencaselaw.ch/entscheid/zh_obergericht_SB160341</w:t>
      </w:r>
    </w:p>
    <w:p>
      <w:r>
        <w:t>FR: ZH_OBERGERICHT SB160341 du 2 décembre 2016</w:t>
      </w:r>
    </w:p>
    <w:p>
      <w:r>
        <w:t>IT: ZH_OBERGERICHT SB160341 del 2 dicembre 2016</w:t>
      </w:r>
    </w:p>
    <w:p>
      <w:pPr>
        <w:pStyle w:val="Heading2"/>
      </w:pPr>
      <w:r>
        <w:t>Erwägungen</w:t>
      </w:r>
    </w:p>
    <w:p>
      <w:r>
        <w:rPr>
          <w:b/>
        </w:rPr>
        <w:t>E. 1</w:t>
      </w:r>
    </w:p>
    <w:p>
      <w:r>
        <w:t>Vorinstanzliches Urteil</w:t>
      </w:r>
    </w:p>
    <w:p>
      <w:r>
        <w:rPr>
          <w:b/>
        </w:rPr>
        <w:t>E. 1.1</w:t>
      </w:r>
    </w:p>
    <w:p>
      <w:r>
        <w:t>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Entgegen einer auch in der Praxis weit verbreiteten Auffas- sung wird der ordentliche Strafrahmen nicht automatisch erweitert, worauf dann innerhalb dieses neuen Rahmens die Strafe nach den üblichen Strafzumessungs- kriterien festzusetzen wäre. Zwar ist auch in der bundesgerichtlichen Rechtspre- chung darauf hingewiesen worden, das Gesetz sehe eine Strafrahmenerweite- rung vor. Damit sollte aber nur ausgedrückt werden, dass der Richter infolge ei- nes Strafschärfungs- bzw. Strafmilderungsgrundes nicht mehr in jedem Fall an die Grenze des ordentlichen Strafrahmens gebunden ist. Der vom Gesetzgeber vor- gegebene ordentliche Rahmen ermöglicht in aller Regel, für eine einzelne Tat die angemessene Strafe festzulegen. Er versetzt den Richter namentlich in die Lage, die denkbaren Abstufungen des Verschuldens zu berücksichtigen (BGE 136 IV 55 E. 5.8.).</w:t>
      </w:r>
    </w:p>
    <w:p>
      <w:r>
        <w:rPr>
          <w:b/>
        </w:rPr>
        <w:t>E. 1.2</w:t>
      </w:r>
    </w:p>
    <w:p>
      <w:r>
        <w:t>Zutreffend erwogen hat die Vorinstanz denn auch, dass eine Erweiterung des Strafrahmens vorliegend nicht in Betracht fällt (Urk. 57 E. V.1.2.).</w:t>
      </w:r>
    </w:p>
    <w:p>
      <w:r>
        <w:rPr>
          <w:b/>
        </w:rPr>
        <w:t>E. 1.3</w:t>
      </w:r>
    </w:p>
    <w:p>
      <w:r>
        <w:t>Der vorliegend für die Drohung gemäss Art. 180 StGB massgebende Straf- rahmen bemisst sich – wie seitens der Vorinstanz zutreffend festgestellt (Urk. 57 E. V.1.) – auf einen Tagessatz Geldstrafe bis drei Jahre Freiheitsstrafe.</w:t>
      </w:r>
    </w:p>
    <w:p>
      <w:r>
        <w:rPr>
          <w:b/>
        </w:rPr>
        <w:t>E. 1.4</w:t>
      </w:r>
    </w:p>
    <w:p>
      <w:r>
        <w:t>Ebenso wurde von der Vorinstanz richtig festgehalten (Urk. 57 E. V.1.), dass Tätlichkeiten im Sinne von Art. 126 StGB mit Busse bestraft werden. Der an- wendbare Strafrahmen für Übertretungen reicht gemäss Art. 106 Abs. 1 StGB von Fr. 1.– bis Fr. 10'000.– Busse.</w:t>
      </w:r>
    </w:p>
    <w:p>
      <w:r>
        <w:t>- 41 - 2. 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57 E. V.2.; Art. 82 Abs. 4 StPO). 3. Konkrete Strafzumessung 3.1. Drohung 3.1.1. Von der Vorinstanz wurde im Zusammenhang mit der Tatkomponente aus- geführt, dass hinsichtlich der objektiven Tatschwere ins Gewicht falle, dass der Beschuldigte durch sein Verhalten die Privatklägerin in erhebliche Angst und Schrecken versetzte (Urk. 57 E. V.3.1.). Die Privatklägerin fürchtete, dass sie vom Balkon aus dem dritten Stock hinuntergeworfen werde, weshalb die Todesangst, von der sie mehrfach sprach, nachvollziehbar erscheint. Ergänzend ist festzuhal- ten, dass der Beschuldigte zusammen mit B._____ – wobei die Tatbeiträge aus- tauschbar waren – aggressiv vorging, das Kräfteungleichgewicht dafür sorgte, dass sich die Privatklägerin kaum wehren konnte und der Beschuldigte nicht aus freien Stücken von der Privatklägerin abliess, sondern erst nachdem C._____ seinem Mitstreiter in den Rücken gebissen hatte und das gemeinsame Vorgehen dadurch gestoppt wurde. Vor dem Hintergrund des weiten Strafrahmens ist die objektive Tatschwere des Beschuldigten als gerade noch leicht einzustufen, wofür eine Einsatzstrafe von 270 Tagessätzen Geldstrafe bzw. 9 Monaten Freiheitsstra- fe angemessen erscheint. 3.1.2. Hinsichtlich der subjektiven Tatschwere wurde von der Vorinstanz zutref- fend erwogen, dass sich der Beschuldigte direkten Vorsatz anzurechnen lassen habe sowie dass durch sein Verhalten die in seinen Augen respektlose Privatklä- gerin Angst bekommen und gefügig gemacht werden sollte (Urk. 57 E. V.3.2.). Zu</w:t>
      </w:r>
    </w:p>
    <w:p>
      <w:r>
        <w:t>- 42 - seinen Gunsten ist in die Waagschale zu werfen, dass – sinngemäss einherge- hend mit der Verteidigung (Urk. 37 S. 12; Urk. 68 S. 12) – davon auszugehen ist, dass die Privatklägerin ihn verbal beleidigte und ihn damit herausforderte, auch wenn dies seine darauf folgende Handlungsweise in keiner Weise rechtfertigt. Die subjektive Tatschwere vermag die objektive Tatschwere angesichts dieser Um- stände leicht zu reduzieren, weshalb es sich rechtfertigt, die Einsatzstrafe um 60 Tagessätze bzw. zwei Monate auf 210 Tagessätze Geldstrafe bzw. 7 Monate Freiheitsstrafe zu senken. 3.1.3. Hinsichtlich der Täterkomponente ist festzustellen, dass zu den persön- lichen Verhältnissen bzw. dem Vorleben des Beschuldigten auf die Ausführungen der Vorinstanz verwiesen werden kann (Urk. 57 E. V.4.2.). Anlässlich der Beru- fungsverhandlung ergab sich, dass der Beschuldigte im G._____ über ein monat- liches Renteneinkommen von € 170.– verfügt, zu dem monatliche Mieteinkünfte von € 150.– kommen. Zudem werde er durch seinen Sohn unterstützt. Ausser ei- nem Haus im G._____ verfüge er über kein Vermögen, habe aber einschliesslich Hypothekarschulden von € 22'000.– insgesamt € 27'000.– Schulden (s. zum Gan- zen: Prot. II S. 13 f.). Der Beschuldigte verfügt über keine Vorstrafen (Urk. 16/2). In Bezug auf die Täterkomponente ist – mit der Vorinstanz (Urk. 57 E. V.4.3.) – zu bemerken, dass sich aus den persönlichen Verhältnissen bzw. dem Vorleben des Beschuldigten keine strafzumessungsrelevanten Umstände ableiten lassen. Auf die seitens der Vorinstanz gemachten Erwägungen in Bezug auf die fehlende besondere Strafempfindlichkeit sowie die mangelnde Reue und Einsicht des Be- schuldigten kann vollumfänglich verwiesen werden (Urk. 57 E. V.4.3.). Eine sich strafmindernd auswirkende Kooperation bzw. ein sich entsprechend auswirken- des Wohlverhalten des Beschuldigten liegt – entgegen der Verteidigung (Urk. 37 S. 13) – nicht vor. Sein Nachtatverhalten wirkt sich demnach insgesamt strafzu- messungsneutral aus. Schliesslich vermag sich auch der von der Verteidigung geltend gemachte "offenkundige Kulturkonflikt" (Urk. 37 S. 13) nicht strafmindernd zu Gunsten des Beschuldigten auszuwirken. 3.1.4. Als Strafart für den Bereich der mittleren Kriminalität sieht das Gesetz die Geld- und die Freiheitsstrafe vor. Nach der Konzeption des Allgemeinen Teils des</w:t>
      </w:r>
    </w:p>
    <w:p>
      <w:r>
        <w:t>- 43 - Strafgesetzbuches stellt die Geldstrafe die Hauptsanktion dar. Freiheitsstrafen sollen nur verhängt werden, wenn der Staat keine anderen Mittel hat, die öffentli- che Sicherheit zu gewährleisten. Nach dem Verhältnismässigkeitsprinzip soll bei alternativ zur Verfügung stehenden und hinsichtlich des Schuldausgleichs äquiva- lenten Sanktionen im Regelfall diejenige gewählt werden, die weniger stark in die persönliche Freiheit des Betroffenen eingreift bzw. die ihn am wenigsten hart trifft (BGE 134 IV 82 E. 4.1.; Botschaft vom 21. September 1998 zur Änderung des Schweizerischen Strafgesetzbuches BBl 1999 S. 2043 f.). Die Geldstrafe ist ge- genüber der Freiheitsstrafe die weniger eingriffsintensive Sanktion und gilt somit als mildere Strafe (BGE 134 IV 97 E. 4.1.1.-2.). Mit Blick auf die bundesgerichtli- che Rechtsprechung hat das Gericht konkret zu prüfen und auch zu begründen, weshalb im Einzelfall eine Geldstrafe unzweckmässig und stattdessen eine Frei- heitsstrafe auszusprechen ist, was seitens der Vorinstanz unterblieb. Die Begrün- dungspflicht reicht nicht soweit, wie dies Art. 41 Abs. 2 StGB hinsichtlich der Aus- fällung kurzer Freiheitsstrafen unter sechs Monaten verlangt. Allerdings sollten die Beweggründe des Gerichts für die eine oder andere Sanktionsform aus dem Urteil ersichtlich sein (Urteil des Bundesgerichts vom 16. Februar 2010 6B_839/2009 E. 3.4.). In casu spricht der Umstand, dass der Beschuldigte über kein Aufenthaltsrecht in der Schweiz verfügt und als … Bürger [des Staates G._____] in seinem Heimat- staat lebt, nicht gegen die Aussprechung einer Geldstrafe, ist doch die Vollzugs- prognose sowohl hinsichtlich Freiheits- wie auch Geldstrafe als zumindest ähnlich ungünstig einzustufen. Deshalb ist vorliegend auf die mildere Sanktionsart zu er- kennen und eine Geldstrafe auszusprechen. Als Tagessatzhöhe erweist sich angesichts der knappen finanziellen Verhältnisse des Beschuldigten (s. vorstehend E. V. 3.1.3. und dortige Verweise) eine solche von Fr. 30.– als angemessen. Auch wenn der Beschuldigte lediglich ein geringes Einkommen erzielt, ist ebenso zu berücksichtigen, dass er über ein – zumindest teilweise abbezahltes – Eigenheim, und somit über Vermögen, verfügt.</w:t>
      </w:r>
    </w:p>
    <w:p>
      <w:r>
        <w:t>- 44 - 3.1.5. Nach Würdigung der Tat- und der Täterkomponente erweist sich eine Geldstrafe von 210 Tagessätzen à Fr. 30.– (insgesamt Fr. 6'300.–) als angemes- sen. 3.1.6. Der Beschuldigte befand sich ab dem 12. August 2015 bis zum 29. Januar 2016 in Haft. Es sind ihm daher 170 Tagessätze an die auszusprechende Geld- strafe anzurechnen. 3.2. Tätlichkeiten Bezüglich der Tätlichkeiten des Beschuldigten ist festzuhalten, dass insbesondere seine aggressive Vorgehensweise und weniger die daraus bei der Privatklägerin resultierenden Verletzungen im Vordergrund stehen. Insgesamt erscheint – auch unter Berücksichtigung der finanziellen Verhältnisse des Beschuldigten – eine Busse im Betrag von Fr. 400.– als angemessen. Bezahlt der Beschuldigte die Busse schuldhaft nicht, so tritt an deren Stelle eine Ersatzfreiheitsstrafe von 4 Ta- gen. VI. Strafvollzug 1. Das Gericht schiebt den Vollzug einer Geldstrafe in der Regel auf, wenn ei- 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 nose vorliegt, ist eine Gesamtwürdigung aller Umstände vorzunehmen, wobei insbesondere Vorleben, Leumund, Charaktermerkmale und Tatumstände einzu- beziehen sind.</w:t>
      </w:r>
    </w:p>
    <w:p>
      <w:r>
        <w:t>- 45 - 2. Die objektiven Voraussetzungen für die Gewährung des bedingten Strafvoll- zuges sind angesichts der auszusprechenden Geldstrafe von 210 Tagessätzen gegeben (Art. 42 Abs. 1 StGB). 3. Zum Vorleben des Beschuldigten ist festzuhalten, dass er nicht vorbestraft ist. Angesichts des Umstands, dass der Beschuldigte erstmals mehrere Monate in Untersuchungs- und Sicherheitshaft verbracht hat, ist aus heutiger Sicht zu erwar- ten, dass er aus den angeklagten Vorfällen seine Lehren gezogen hat und sich in Zukunft wohl verhalten wird. Es ist ihm daher eine günstige Prognose zu stellen und der bedingte Vollzug zu gewähren. 4. Schiebt das Gericht den Vollzug einer Strafe ganz oder teilweise auf, so be- stimmt es dem Verurteilten eine Probezeit von zwei bis fünf Jahren (Art. 44 Abs. 1 StGB). Die von der Vorinstanz ausgesprochene Probezeit von zwei Jahren (Urk. 57 E. VI.) ist nicht zu beanstanden. VII. Genugtuung 1. Seitens der Vorinstanz wurden die erforderlichen rechtlichen Ausführungen zu den Voraussetzungen für die Zusprechung von Genugtuung gemacht, weshalb vollumfänglich auf diese verwiesen werden kann (Urk. 57 E. VII.). 2. Die Vorinstanz verpflichtete den Beschuldigten (wie auch B._____ im Ver- fahren GG150091), der Privatklägerin eine Genugtuung in Höhe von (je) Fr. 1'000.–, zuzüglich 5% Zins ab 12. August 2015, zu bezahlen (Urk. 57 Disposi- tiv-Ziffer 5). 3. Seitens des Beschuldigten wird heute diesbezüglich vorgebracht, der ärztli- che Bericht über die Verletzungen der Privatklägerin sei zweifelhaft (Urk. 68 S. 3 ff. und S. 11). 4. Der Vorinstanz ist beizupflichten (Urk. 57 E. VII.), dass in casu objektiv eine erhebliche Verletzung der Persönlichkeitsrechte und insbesondere der psychi- schen und in kleinerem Ausmass auch der physischen Integrität der Privatklägerin</w:t>
      </w:r>
    </w:p>
    <w:p>
      <w:r>
        <w:t>- 46 - vorliegt, welche Todesangst hatte. Dr. med. H._____, Facharzt für Psychiatrie und Psychotherapie – welcher die Privatklägerin im Beurteilungszeitpunkt während rund zwei Monaten anlässlich von vier Sitzungen therapierte und sich zudem auf Angaben des Hausarztes der Privatklägerin stützte – diagnostizierte der Privat- klägerin in seinem ärztlichen Bericht vom 20. Januar 2016 eine posttraumatische Belastungsstörung (Urk. 36). Weiter führte er aus, dass die psychiatrisch- psychotherapeutische Behandlung erst begonnen habe und eine längerdauernde Behandlung notwendig sei. Grundsätzlich sei die mittelfristige Prognose für die Privatklägerin gut und die Arbeitsfähigkeit seit dem 1. Oktober 2015 zu 100% ge- geben. Psychische Leiden, welche in den letzten zehn Jahren behandelt wurden, seien keine bekannt. Nicht zu folgen ist dem Einwand der Verteidigung, dass die psychischen Belastungen nicht direkt vom Vorfall vom 12. August 2015 herstam- men würden, sondern insbesondere durch die Inhaftierungen des Ehemannes und des Schwiegervaters verursacht worden seien, weshalb es am adäquaten Kausalzusammenhang zum Vorfall mangle (Prot. I S. 23). So ist aus den weiteren Ausführungen des Berichts von Dr. med. H._____ herauszulesen, dass der Vorfall vom 12. August 2015 mindestens überwiegend kausal war für die Probleme der Privatklägerin, da er die Hauptursache für ihre Belastungen darstellt, auch wenn im Bericht ebenfalls darauf hingewiesen wird, dass seitens der Schwiegereltern ein langjähriger massiver Druck bestanden habe und die zur Zeit bestehenden Unsicherheiten – das ganze Familiensystem sei erschüttert – sich belastend auf die Privatklägerin auswirken würden. In Anbetracht der gesamten Umstände er- scheint eine Genugtuung in der Höhe von (je) Fr. 1'000.– zuzüglich Zins ab dem Schadensereignis, als gerade noch angemessen. VIII. Kosten- und Entschädigungsfolgen</w:t>
      </w:r>
    </w:p>
    <w:p>
      <w:r>
        <w:rPr>
          <w:b/>
        </w:rPr>
        <w:t>E. 1.5</w:t>
      </w:r>
    </w:p>
    <w:p>
      <w:r>
        <w:t>Die Privatklägerin liess sich demgegenüber innert der ihr angesetzten Frist nicht vernehmen.</w:t>
      </w:r>
    </w:p>
    <w:p>
      <w:r>
        <w:rPr>
          <w:b/>
        </w:rPr>
        <w:t>E. 1.6</w:t>
      </w:r>
    </w:p>
    <w:p>
      <w:r>
        <w:t>Mit Eingabe vom 14. September 2016 liess der Beschuldigte das Datener- fassungsblatt einreichen (Urk. 62 u. 63).</w:t>
      </w:r>
    </w:p>
    <w:p>
      <w:r>
        <w:rPr>
          <w:b/>
        </w:rPr>
        <w:t>E. 1.7</w:t>
      </w:r>
    </w:p>
    <w:p>
      <w:r>
        <w:t>Am 24. Oktober 2016 ergingen die Vorladungen an die Staatsanwaltschaft, die Privatklägerin und den Beschuldigten zur heutigen Berufungsverhandlung (vgl. Urk. 64).</w:t>
      </w:r>
    </w:p>
    <w:p>
      <w:r>
        <w:t>- 6 -</w:t>
      </w:r>
    </w:p>
    <w:p>
      <w:r>
        <w:rPr>
          <w:b/>
        </w:rPr>
        <w:t>E. 2</w:t>
      </w:r>
    </w:p>
    <w:p>
      <w:r>
        <w:t>Seitens der Vorinstanz wurde überdies zutreffend erwogen (Urk. 57 E. II.1.), dass in casu die erforderlichen Strafanträge vorliegen (Urk. 2). 3.1. Weiter wurde seitens der Verteidigung von B._____ im vorinstanzlichen Ver- fahren vorgebracht, dass dem Sohn der Privatklägerin und des Mitbeschuldigten B._____, C._____, anlässlich seiner staatsanwaltlichen Einvernahme vom 20. Oktober 2015 (Urk. 9/2, Fragen 30, 38 u. 42) wie auch dem Mitbeschuldigten B._____ selbst in der staatsanwaltlichen Einvernahme vom 10. November 2015 (Urk. 8/4: Frage 16) Suggestivfragen bzw. unzulässige Fragen gestellt worden seien (GG150091 Urk. 60 S. 10; Prot. GG150091 S. 26 f.), worauf der Vollstän- digkeit halber auch im vorliegenden Verfahren einzugehen ist.</w:t>
      </w:r>
    </w:p>
    <w:p>
      <w:r>
        <w:t>- 7 - 3.2. In Art. 140 StPO findet sich eine Auflistung der verbotenen Beweiserhe- bungsmethoden, worunter Zwangsmittel, Gewaltanwendung, Drohungen, Ver- sprechungen, Täuschungen und Mittel, welche die Denkfähigkeit oder die Willens- freiheit einer Person beeinträchtigen können, fallen. Art. 143 StPO schreibt vor, wie eine Einvernahme durchzuführen ist, wobei in Absatz 4 festgehalten wird, dass die einzuvernehmende Person sich zum Gegenstand der Einvernahme äus- sern kann und in Absatz 5 vorausgesetzt wird, dass durch klar formulierte Fragen und Vorhalte die Vollständigkeit der Aussagen und die Klärung von Widersprü- chen angestrebt werden soll. Die Zulässigkeit von Suggestivfragen, die der einzu- vernehmenden Person von vornherein eine bestimmte Antwort nahelegen, wird in der Strafprozessordnung nicht ausdrücklich geregelt. Suggestivfragen sind in An- betracht des Gebots der Verfahrensfairness (Art. 3 Abs. 2 lit. d i.V.m. Art. 140 StPO, Art. 29 Abs. 1 BV und Art. 6 Ziff. 1 EMRK), der staatlichen Objektivitäts- pflicht gemäss Art. 6 Abs. 2 StPO und des Grundsatzes von Treu und Glauben gemäss Art. 3 Abs. 2 lit. a StPO zu vermeiden. Verboten sind sie indessen nicht, weshalb ein Spielraum für eine situationsangepasste Einvernahmetechnik bleibt. Eine verbotene Untersuchungsmethode ist mittels Stellen von Suggestivfragen in jedem Fall gegeben, wenn sie einer Täuschung im Sinne von Art. 140 StPO ent- sprechen. Falls dem nicht so ist, können Suggestivfragen allenfalls den Beweis- wert der daraufhin gemachten Angaben in Frage stellen (GODENZI in: DO- NATSCH/HANSJAKOB/LIEBER, STPO KOMM., 2. A., Art. 140 StPO N 12 u. Art. 143 StPO N 33 m.w.H.; SCHMID, STPO PRAXISKOMMENTAR, 2. A., Zürich/St. Gallen 2013, ART. 140 StPO N 5). Das Verbot von Suggestivfragen wie auch Verstösse gegen die in Art. 143 Abs. 4 und 5 StPO normierten Grundsätze sind jedenfalls als Ordnungsvorschriften ausgestaltet, weshalb Antworten trotz suggestiver bzw. unzulässiger Frageweise grundsätzlich verwertbar sind. Der Art, wie sie erlangt wurden, ist bei der Würdigung der entsprechenden Aussagen Rechnung zu tra- gen (Urteil des Bundesgerichts 6B_89/2014 vom 1. Mai 2014, E. 1.4.5.; BSK- STPO-HÄRING, Art. 143 StPO N 36a u. 37). Zu beachten ist hierbei, dass Kinder schon aufgrund ihres Alters erhöht suggestionsanfällig sind. Bei ihnen ist beson- ders die Neigung ausgeprägt, immer – auch auf "unsinnige" Fragen – Antworten geben zu wollen (MARTIN HUSSELS, Fragen der Vernehmungstechnik und -taktik</w:t>
      </w:r>
    </w:p>
    <w:p>
      <w:r>
        <w:t>- 8 - bei der Einvernahme von Zeugen/Auskunftspersonen, Forum Poenale 2011, S. 357 f. m.w.H.). 3.3. In casu ist offensichtlich, dass anlässlich der Befragung von C._____, wel- cher im Zeitpunkt seiner korrekt gemäss Art. 178 lit. b StPO erfolgten Einvernah- me als Auskunftsperson erst knapp neunjährig war, aufgrund seines kindlichen Al- ters eine besonders zurückhaltende Befragungstechnik anzuwenden war, um all- fällige Beeinflussungen auszuschliessen. Allerdings tangieren die seitens der Ver- teidigung gerügten Fragestellungen allesamt Ordnungsvorschriften und demnach nicht die (prozessual relevante) Verwertbarkeit der Aussagen sondern – allenfalls – bloss deren (materiell relevante) Würdigung, worauf später eingegangen wird (s. hernach unter E. III.3.4.2.2.). Gleiches gilt für die Rüge der Verteidigung von B._____ hinsichtlich einer unzulässigen Frage anlässlich der Schlusseinvernahme desselben (s. hernach unter E. III.3.4.3.2.).</w:t>
      </w:r>
    </w:p>
    <w:p>
      <w:r>
        <w:rPr>
          <w:b/>
        </w:rPr>
        <w:t>E. 2.1</w:t>
      </w:r>
    </w:p>
    <w:p>
      <w:r>
        <w:t>Vorliegend ist von einer Tätlichkeit und nicht von mehreren Tätlichkeiten auszugehen. Eine Tätlichkeit im Sinne von Art. 126 Abs. 1 StGB ist gemäss bun- desgerichtlicher Rechtsprechung anzunehmen bei einer das allgemein übliche und gesellschaftlich geduldete Mass überschreitenden physischen Einwirkung auf einen Menschen, die keine Schädigung des Körpers oder der Gesundheit zur Folge hat. Die Verursachung von Schmerzen ist nicht erforderlich (BGE 117 IV 16 f.; BGE 134 IV 191).</w:t>
      </w:r>
    </w:p>
    <w:p>
      <w:r>
        <w:rPr>
          <w:b/>
        </w:rPr>
        <w:t>E. 2.2</w:t>
      </w:r>
    </w:p>
    <w:p>
      <w:r>
        <w:t>In casu ist erstellt, dass B._____ die Privatklägerin an den Füssen und der Beschuldigte sie am Oberkörper gepackt und gemeinsam gewaltsam bis zur offe- nen Balkontür verbracht haben, wodurch die Privatklägerin die in der Anklage- schrift umschriebenen Hautrötungen, Kratzverletzungen, Hautschürfungen am Oberkörper bzw. eine Hautläsion am linken Fussrücken erlitt (E. III.3.4.8.). Wie seitens der Vorinstanz zutreffend erwogen (Urk. 57 E. IV.1.1.), hat der Beschul- digte damit den objektiven Tatbestand der Tätlichkeiten erfüllt. Da es lediglich zu</w:t>
      </w:r>
    </w:p>
    <w:p>
      <w:r>
        <w:t>- 37 - einer vorübergehenden Beeinträchtigung des Wohlbefindens der Privatklägerin kam, wurde die Schwelle zur einfachen Körperverletzung durch sein Handeln nicht überschritten.</w:t>
      </w:r>
    </w:p>
    <w:p>
      <w:r>
        <w:rPr>
          <w:b/>
        </w:rPr>
        <w:t>E. 2.3</w:t>
      </w:r>
    </w:p>
    <w:p>
      <w:r>
        <w:t>Wie seitens der Vorinstanz zutreffend festgehalten wurde (Urk. 57 E. IV.1.2.), haben der Beschuldigte und B._____ die Privatklägerin willentlich ge- packt und gewaltsam zur Balkontür verbracht und dabei kleinere Verletzungen in Kauf genommen. Die unmittelbar durch B._____ verursachten Einwirkungen auf den Körper der Privatklägerin waren vom Willen des Beschuldigten mindestens eventuell mitumfasst. Der Tatbestand der Tätlichkeiten ist damit auch in subjekti- ver Hinsicht erfüllt.</w:t>
      </w:r>
    </w:p>
    <w:p>
      <w:r>
        <w:rPr>
          <w:b/>
        </w:rPr>
        <w:t>E. 2.4</w:t>
      </w:r>
    </w:p>
    <w:p>
      <w:r>
        <w:t>Die seitens der Verteidigung geltend gemachte Notwehrhandlung des Be- schuldigten bzw. seines Mitbeschuldigten gemäss Art. 15 StGB (Urk. 37 S. 12) entbehrt gestützt auf den erstellten Sachverhalt jeglicher Grundlage. Mangels Rechtfertigungs- oder Schuldausschlussgründen hat sich der Beschuldigte dem- nach der Tätlichkeiten im Sinne von Art. 126 Abs. 1 StGB schuldig gemacht. 3. Nötigung 3.1. Gemäss Art. 181 StGB begeht eine Nötigung, wer jemanden durch Gewalt oder Androhung ernstlicher Nachteile oder durch andere Beschränkung seiner Handlungsfreiheit nötigt, etwas zu tun, zu unterlassen oder zu dulden. Diese Strafnorm schützt die freie Willensbildung und Willensbetätigung (BGE 129 IV 8; BGE 129 IV 264; BGE 134 IV 221). Nicht vom geschützten Rechtsgut erfasst ist dagegen die körperliche Integrität (BGE 99 IV 210). Unter Gewalt ist die physi- sche Einwirkung auf den Körper eines Menschen zu verstehen. Ist die Nötigung eine blosse Begleiterscheinung von Tätlichkeiten oder vorsätzlicher Körperverlet- zung, so gehen diese Tatbestände demjenigen von Art. 181 StGB vor (DONATSCH, Strafrecht III, 9. A., Zürich 2008, S. 415; BGE 104 IV 73). Art. 126 StGB konsu- miert demnach nur (aber immerhin) die Nötigung, welche unmittelbar mit dem An- griff gegen den Körper einhergeht (TRECHSEL/FINGERHUTH, in: TRECHSEL/PIETH (HRSG.), StGB Praxiskommentar, 2. A., Zürich/St. Gallen 2013, Art. 181 StGB N 18).</w:t>
      </w:r>
    </w:p>
    <w:p>
      <w:r>
        <w:t>- 38 - 3.2. In casu wurde die Privatklägerin vom Beschuldigten und B._____ gepackt und gewaltsam gegen ihren Willen zur offenen Balkontür verbracht, was sie dul- den musste. Ihre Willensfreiheit wurde deshalb durch die Gewaltanwendung des Beschuldigten und B._____ klarerweise tangiert. Allerdings geht die Nötigungs- handlung vorliegend nicht über die erstellten Tätlichkeiten hinaus, weshalb erstere von letzteren konsumiert wird. Deshalb kann vorliegend offen bleiben, ob der Be- schuldigte nebst den Tätlichkeiten auch den Tatbestand der Nötigung erfüllt hat. Im Übrigen ist – mit der Vorinstanz (Urk. 57 E. IV.2.2.) – darauf zu verweisen, dass die in Frage stehende gegen den Willen der Privatklägerin erfolgte Gewalt- anwendung überdies in einer Handlungseinheit mit der – nachfolgend zu prüfen- den – Drohungshandlung steht. 4. Drohung</w:t>
      </w:r>
    </w:p>
    <w:p>
      <w:r>
        <w:rPr>
          <w:b/>
        </w:rPr>
        <w:t>E. 4</w:t>
      </w:r>
    </w:p>
    <w:p>
      <w:r>
        <w:t>Auf die Stellung von Beweisanträgen wurde seitens der Parteien verzichtet (Prot. II S. 6 und S. 25). Eine vom Amtes wegen vorzunehmende erneute Be- weisabnahme gestützt auf Art. 389 Abs. 3 StPO in Verbindung mit Art. 343 Abs. 3 StPO ist in vorliegender Konstellation ausserdem nicht erforderlich. So liegt in casu insbesondere keine klassische "Aussage gegen Aussage"-Situation vor, welche die unmittelbare Kenntnis eines der Beweismittel für die Urteilsfällung notwendig erscheinen lassen würde (s. hierzu folgende Urteile des Bundesge- richts: 6B_620/2014 vom 25. September 2014, E. 1.4.2. m.w.H., sowie 6B_98/2014 E. 3.8. vom 30. September 2014).</w:t>
      </w:r>
    </w:p>
    <w:p>
      <w:r>
        <w:rPr>
          <w:b/>
        </w:rPr>
        <w:t>E. 4.1</w:t>
      </w:r>
    </w:p>
    <w:p>
      <w:r>
        <w:t>Den Tatbestand der Drohung erfüllt, wer jemanden durch schwere Drohung in Schrecken oder Angst versetzt (Art. 180 Abs. 1 StGB). Der Begriff der Drohung bezieht sich auf das in Aussicht Stellen eines künftigen schweren Übels bzw. Nachteils, dessen Verwirklichung vom Willen des Drohenden abhängig ist (BGE 81 IV 106; BGE 99 IV 215; BGE 106 IV 128; TRECHSEL/FINGERHUTH, a.a.O., Art. 180 StGB N 1 f). Unter einer Drohung ist nicht nur eine blosse ausdrückliche Erklärung des Drohenden zu verstehen, sondern jegliches Verhalten, durch wel- ches das Opfer vom Drohenden bewusst in Schrecken und Angst versetzt wird. Das in Aussicht gestellte Übel kann auf irgendeine Weise angekündigt werden, so durch Wort, Schrift, Gesten oder konkludentes Verhalten. Der Tatbestand ist voll- endet, wenn das Opfer in seinem Sicherheitsgefühl tatsächlich schwer beeinträch- tigt bzw. "in Schrecken oder Angst versetzt" wird. Das Opfer muss die Verwirkli- chung des angedrohten Übels befürchten, was bedeutet, dass es die Zufügung für möglich hält oder tatsächlich damit rechnet, und andererseits, dass der ange- drohte Nachteil von solcher Schwere ist, dass er Schrecken und Angst auszulö- sen vermag (BSK STGB II-DELNON/RÜDY, Art. 180 StGB N 14, 24 u. 31). Die Äusserung, das Gegenüber töten zu wollen, stellt einen schweren Nachteil dar (BGer 6B_765/2010 vom 28. Februar 2011).</w:t>
      </w:r>
    </w:p>
    <w:p>
      <w:r>
        <w:t>- 39 -</w:t>
      </w:r>
    </w:p>
    <w:p>
      <w:r>
        <w:rPr>
          <w:b/>
        </w:rPr>
        <w:t>E. 4.2</w:t>
      </w:r>
    </w:p>
    <w:p>
      <w:r>
        <w:t>In casu ist erstellt, dass die Privatklägerin vom Beschuldigten und B._____ am Oberkörper und an den Füssen gepackt gegen ihren Willen gewaltsam zur of- fenen Balkontüre verbrachte wurde und dadurch in Angst geriet, weil sie befürch- tete, dass sie vom Balkon hinunter geworfen werden sollte (s. vorstehend E. III.3.4.5.5.). Diese Handlungsweise des Beschuldigten war denn auch ohne Wei- teres geeignet, diese Angst bei der Privatklägerin zu verursachen, auch wenn es zu keiner ausdrücklichen, sondern nur einer konkludenten Drohung kam. Wie be- reits ausgeführt (E. III.3.4.5.5.), sind diesbezüglich auch die Dynamik des Hand- lungsgeschehens, die Aufgebrachtheit des Beschuldigten bzw. seines Mitstreiters und das Kräfteungleichgewicht zwischen den Kontrahenten von Bedeutung, wel- che – nebst den entsprechenden Aussagen der Privatklägerin – dazu führen, dass die Angst der Privatklägerin real erscheint. Mit der Vorinstanz ist festzustel- len (Urk. 57 E. IV.3.1.), dass es nur darauf ankommt, dass die Privatklägerin zum damaligen Zeitpunkt tatsächlich Angst hatte, vom Balkon hinuntergeworfen zu werden, unabhängig davon, ob diese Angst effektiv berechtigt gewesen ist. Der objektive Tatbestand der Drohung ist durch das Verhalten des Beschuldigten da- mit erfüllt worden.</w:t>
      </w:r>
    </w:p>
    <w:p>
      <w:r>
        <w:rPr>
          <w:b/>
        </w:rPr>
        <w:t>E. 4.3</w:t>
      </w:r>
    </w:p>
    <w:p>
      <w:r>
        <w:t>Der Vorinstanz ist ferner darin beizupflichten (Urk. 57 E. IV.3.2.), dass in casu davon auszugehen ist, dass der Beschuldigte und B._____ die Privatkläge- rin gefügig machen wollten und ihr durch Angsteinflössen Respekt beibringen bzw. demonstrieren wollten, dass sie ihren Schwiegervater mit Respekt zu be- handeln habe. Der Beschuldigte handelte demzufolge mit direktem Vorsatz. Der subjektive Tatbestand ist somit ebenfalls als erfüllt zu erachten.</w:t>
      </w:r>
    </w:p>
    <w:p>
      <w:r>
        <w:rPr>
          <w:b/>
        </w:rPr>
        <w:t>E. 4.4</w:t>
      </w:r>
    </w:p>
    <w:p>
      <w:r>
        <w:t>Mangels Rechtfertigungs- oder Schuldausschlussgründen macht sich der Beschuldigte folglich der Drohung gemäss Art. 180 Abs. 1 StGB schuldig.</w:t>
      </w:r>
    </w:p>
    <w:p>
      <w:r>
        <w:rPr>
          <w:b/>
        </w:rPr>
        <w:t>E. 5</w:t>
      </w:r>
    </w:p>
    <w:p>
      <w:r>
        <w:t>Ergebnis Der Beschuldigte machte sich demzufolge der Drohung im Sinne von Art. 180 Abs. 1 StGB und der Tätlichkeiten im Sinne von Art. 126 Abs. 1 StGB schuldig.</w:t>
      </w:r>
    </w:p>
    <w:p>
      <w:r>
        <w:t>- 40 - V. Sanktion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