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SB160285 vom 19. Juli 2016</w:t>
      </w:r>
    </w:p>
    <w:p>
      <w:r>
        <w:t>ZH Obergericht, 2016-07-19, DE</w:t>
      </w:r>
    </w:p>
    <w:p>
      <w:r>
        <w:rPr>
          <w:b/>
        </w:rPr>
        <w:t xml:space="preserve">Quelle: </w:t>
      </w:r>
      <w:r>
        <w:t>https://mcp.opencaselaw.ch/entscheid/zh_obergericht_SB160285</w:t>
      </w:r>
    </w:p>
    <w:p>
      <w:r>
        <w:t>FR: ZH_OBERGERICHT SB160285 du 19 juillet 2016</w:t>
      </w:r>
    </w:p>
    <w:p>
      <w:r>
        <w:t>IT: ZH_OBERGERICHT SB160285 del 19 luglio 2016</w:t>
      </w:r>
    </w:p>
    <w:p>
      <w:pPr>
        <w:pStyle w:val="Heading2"/>
      </w:pPr>
      <w:r>
        <w:t>Erwägungen</w:t>
      </w:r>
    </w:p>
    <w:p>
      <w:r>
        <w:rPr>
          <w:b/>
        </w:rPr>
        <w:t>E. 1</w:t>
      </w:r>
    </w:p>
    <w:p>
      <w:r>
        <w:t>Mit Urteil des Bezirksgerichts Zürich vom 9. Mai 2016 wurde der Beschuldig- te sowohl vom Vorwurf der fahrlässigen Körperverletzung im Sinne von Art. 125 Abs. 1 StGB als auch vom Vorwurf der Verletzung der Verkehrsregeln im Sinne von Art. 90 Abs. 1 StGB in Verbindung mit Art. 34 Abs. 4 SVG freigesprochen. Die Zivilklage des Privatklägers wurde auf den Zivilweg verwiesen, die Kosten wurden auf die Gerichtkasse genommen und dem Beschuldigten wurde schliesslich eine Prozessentschädigung von Fr. 3'516.50 (inkl. MwSt.) für anwaltliche Verteidigung aus der Gerichtskasse zugesprochen. Der Entscheid wurde den Parteien am 9. Mai 2016 mündlich eröffnet, begründet und je im Dispositiv übergeben (Urk. 27; Prot. I S. 18). In Ziffer 6 des Urteils findet sich die Rechtsmittelbelehrung. Darin werden die Formalitäten zur Erhebung der Berufung gemäss den gesetzlichen Vorgaben von Art. 399 StPO korrekt und verständlich aufgeführt (Urk. 27 [Urteils- dispositiv]; Urk. 30 = Urk. 34 [begründete Fassung]). Ebenfalls am 9. Mai 2016 meldete der Privatkläger Berufung an (Urk. 28). Am 21. Juni 2016 wurde das begründete Urteil (Urk. 30 = Urk. 34) dem Privatkläger zugestellt (Urk. 32/2).</w:t>
      </w:r>
    </w:p>
    <w:p>
      <w:r>
        <w:rPr>
          <w:b/>
        </w:rPr>
        <w:t>E. 2</w:t>
      </w:r>
    </w:p>
    <w:p>
      <w:r>
        <w:t>Aufl. 2014, Art. 399 N 2; vgl. auch Urteil des Bundesgerichts 6B_458/2013 vom</w:t>
      </w:r>
    </w:p>
    <w:p>
      <w:r>
        <w:rPr>
          <w:b/>
        </w:rPr>
        <w:t>E. 4</w:t>
      </w:r>
    </w:p>
    <w:p>
      <w:r>
        <w:t>Im Rechtsmittelverfahren tragen die Parteien die Kosten nach Massgabe ih- res Obsiegens oder Unterliegens. Das Nichteintreten auf das Rechtsmittel des Privatklägers kommt einem Unterliegen gleich (Art. 428 Abs. 1 StPO). Dem Privatkläger sind somit die Kosten für das Berufungsverfahren aufzuerlegen. Die Gerichtsgebühr ist auf Fr. 600.– festzusetzen. Aufwendungen der Verteidigung für das Berufungsverfahren sind nicht ersichtlich, weshalb keine Entschädigung zu- 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