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SB160270 vom 24. November 2016</w:t>
      </w:r>
    </w:p>
    <w:p>
      <w:r>
        <w:t>ZH Obergericht, 2016-11-24, DE</w:t>
      </w:r>
    </w:p>
    <w:p>
      <w:r>
        <w:rPr>
          <w:b/>
        </w:rPr>
        <w:t xml:space="preserve">Quelle: </w:t>
      </w:r>
      <w:r>
        <w:t>https://mcp.opencaselaw.ch/entscheid/zh_obergericht_SB160270</w:t>
      </w:r>
    </w:p>
    <w:p>
      <w:r>
        <w:t>FR: ZH_OBERGERICHT SB160270 du 24 novembre 2016</w:t>
      </w:r>
    </w:p>
    <w:p>
      <w:r>
        <w:t>IT: ZH_OBERGERICHT SB160270 del 24 novembre 2016</w:t>
      </w:r>
    </w:p>
    <w:p>
      <w:pPr>
        <w:pStyle w:val="Heading2"/>
      </w:pPr>
      <w:r>
        <w:t>Erwägungen</w:t>
      </w:r>
    </w:p>
    <w:p>
      <w:r>
        <w:rPr>
          <w:b/>
        </w:rPr>
        <w:t>E. 1</w:t>
      </w:r>
    </w:p>
    <w:p>
      <w:r>
        <w:t>Mit vorstehend wiedergegebenem Urteil vom 19. Mai 2016 wurde der Beschuldigte der fahrlässigen groben Verletzung von Verkehrsregeln schuldig ge- sprochen und mit einer bedingten Geldstrafe von 20 Tagessätzen zu Fr. 110.-- sowie einer Busse von Fr. 500.-- bestraft (Urk. 36 S. 23 ff.).</w:t>
      </w:r>
    </w:p>
    <w:p>
      <w:r>
        <w:rPr>
          <w:b/>
        </w:rPr>
        <w:t>E. 2</w:t>
      </w:r>
    </w:p>
    <w:p>
      <w:r>
        <w:t>Gegen dieses an der Hauptverhandlung vom 19. Mai 2016 mündlich er- öffnete und im Dispositiv übergebene Urteil liess der Beschuldigte am selben Tag Berufung anmelden (Urk. 29). Nach Zustellung des begründeten Entscheids am 15. Juni 2016 (Urk. 35/2) ging fristgerecht, innert der zwanzigtägigen Frist von Art. 399 Abs. 3 StPO, am 5. Juli 2016 (Poststempel 4. Juli 2016) beim Ober- gericht die Berufungserklärung ein (Urk. 38).</w:t>
      </w:r>
    </w:p>
    <w:p>
      <w:r>
        <w:rPr>
          <w:b/>
        </w:rPr>
        <w:t>E. 3</w:t>
      </w:r>
    </w:p>
    <w:p>
      <w:r>
        <w:t>Mit Präsidialverfügung vom 12. Juli 2016 wurde die Berufungserklärung in Anwendung von Art. 400 Abs. 2 und 3 StPO der Staatsanwaltschaft übermittelt, um gegebenenfalls Anschlussberufung zu erheben oder ein Nichteintreten auf die Berufung zu beantragen (Urk. 40). Die Staatsanwaltschaft verzichtete auf An-</w:t>
      </w:r>
    </w:p>
    <w:p>
      <w:r>
        <w:t>- 4 - schlussberufung und beantragte die Bestätigung des vorinstanzlichen Urteils (Urk. 42).</w:t>
      </w:r>
    </w:p>
    <w:p>
      <w:r>
        <w:rPr>
          <w:b/>
        </w:rPr>
        <w:t>E. 3.1</w:t>
      </w:r>
    </w:p>
    <w:p>
      <w:r>
        <w:t>Der 38-jährige Beschuldigte arbeitet als Verkaufstechniker bei der B._____ und erzielt ein Brutto-Jahreseinkommen von rund Fr. 125'000.–, was umgerech- net einem Monatseinkommen von rund Fr. 10'400.– brutto oder Fr. 9'000.-- netto entspricht. Er lebe alleine und habe keine Kinder. Er habe kein Vermögen, aber Schulden von rund Fr. 190'000.–, welche aus einem Strafverfahren in Deutsch- land stammten. Er habe für die Rückzahlung dieser Schuld ein Arbeitgeberdarle- hen in der Höhe von Fr. 130'000.– erhalten. Dieses Darlehen bezahle er nun mit monatlichen Raten von Fr. 2'500.– zurück (Urk. 54 S. 2 ff.).</w:t>
      </w:r>
    </w:p>
    <w:p>
      <w:r>
        <w:rPr>
          <w:b/>
        </w:rPr>
        <w:t>E. 3.2</w:t>
      </w:r>
    </w:p>
    <w:p>
      <w:r>
        <w:t>Der Beschuldigte weist eine Vorstrafe in Deutschland aus dem Jahre 2011 wegen Insolvenzverschleppung und Vorenthalten und Veruntreuen von Arbeits- entgelt in 11 Fällen und Bankrott in 3 Fällen auf (Urk. 4/6 und Urk. 54 S. 4). Diese Vorstrafe ist allerdings nicht einschlägig und bei fahrlässigen Verkehrsregelüber- tretungen sind solche Vorstrafen ohne grossen Einfluss auf die Strafzumessung, da bei fahrlässigen Verkehrsdelikten in der Regel nicht von einem bewussten Missachten einer Warnwirkung auszugehen ist.</w:t>
      </w:r>
    </w:p>
    <w:p>
      <w:r>
        <w:t>- 11 -</w:t>
      </w:r>
    </w:p>
    <w:p>
      <w:r>
        <w:rPr>
          <w:b/>
        </w:rPr>
        <w:t>E. 3.3</w:t>
      </w:r>
    </w:p>
    <w:p>
      <w:r>
        <w:t>Ansonsten sind keine weiteren strafzumessungsrelevanten Faktoren er- sichtlich.</w:t>
      </w:r>
    </w:p>
    <w:p>
      <w:r>
        <w:rPr>
          <w:b/>
        </w:rPr>
        <w:t>E. 3.4</w:t>
      </w:r>
    </w:p>
    <w:p>
      <w:r>
        <w:t>Unter Würdigung aller Umstände ist eine Busse von Fr. 1'500.– ange- messen. Ein Umwandlungssatz von 1 Tag pro Fr. 100.– im Falle schuldhafter Nichtbezahlung der Busse ist gerichtsüblich. VI. Kosten- und Entschädigungsfolgen Da der Beschuldigte schuldig zu sprechen ist, hat er die Kosten der Untersuchung und des erstinstanzlichen Verfahrens zu tragen (Art. 426 Abs. 1 StPO). Die Kosten im Rechtsmittelverfahren richten sich nach Obsiegen und Unterliegen (Art. 428 Abs. 1 StPO). Da entgegen dem Antrag des Verteidigers kein Freispruch erfolgt, hat der Beschuldigte zwei Drittel der Kosten des Berufungsverfahrens zu bezahlen. Aufgrund der milderen Qualifikation der Verkehrsregelverletzung sind ein Drittel auf die Gerichtskasse zu nehmen. Dementsprechend ist dem Verteidi- ger eine um zwei Drittel reduzierte Prozessentschädigung zuzusprechen. Es wird erkannt: 1. Der Beschuldigte A._____ ist schuldig der fahrlässigen Verletzung von Ver- kehrsregeln im Sinne von Art. 90 Abs. 1 SVG i.V.m. Art. 34 Abs. 3 SVG und Art. 44 Abs. 1 SVG. 2. Der Beschuldigte wird bestraft mit einer Busse von Fr. 1'500.--. Bezahlt der Beschuldigte die Busse schuldhaft nicht, so tritt an deren Stelle eine Ersatzfreiheitsstrafe von 15 Tagen. 3. Die erstinstanzliche Kostenregelung (Dispositivziffern 4 und 5) wird bestätigt.</w:t>
      </w:r>
    </w:p>
    <w:p>
      <w:r>
        <w:rPr>
          <w:b/>
        </w:rPr>
        <w:t>E. 4</w:t>
      </w:r>
    </w:p>
    <w:p>
      <w:r>
        <w:t>Die zweitinstanzliche Gerichtsgebühr wird festgesetzt auf Fr. 2'500.--.</w:t>
      </w:r>
    </w:p>
    <w:p>
      <w:r>
        <w:t>- 12 -</w:t>
      </w:r>
    </w:p>
    <w:p>
      <w:r>
        <w:rPr>
          <w:b/>
        </w:rPr>
        <w:t>E. 5</w:t>
      </w:r>
    </w:p>
    <w:p>
      <w:r>
        <w:t>Die Kosten des Berufungsverfahrens werden dem Beschuldigten zu 2/3 auf- erlegt und zu 1/3 auf die Gerichtskasse genommen.</w:t>
      </w:r>
    </w:p>
    <w:p>
      <w:r>
        <w:rPr>
          <w:b/>
        </w:rPr>
        <w:t>E. 6</w:t>
      </w:r>
    </w:p>
    <w:p>
      <w:r>
        <w:t>Dem Beschuldigten wird für seine anwaltliche Vertretung im Berufungsver- fahren eine reduzierte Prozessentschädigung von Fr. 1'000.-- zugesprochen.</w:t>
      </w:r>
    </w:p>
    <w:p>
      <w:r>
        <w:rPr>
          <w:b/>
        </w:rPr>
        <w:t>E. 7</w:t>
      </w:r>
    </w:p>
    <w:p>
      <w:r>
        <w:t>Mündliche Eröffnung und schriftliche Mitteilung im Dispositiv an − die Verteidigung im Doppel für sich und zuhanden des Beschuldigten (übergeben) − die Staatsanwaltschaft See/Oberland sowie in vollständiger Ausfertigung an − die Verteidigung im Doppel für sich und zuhanden des Beschuldigten − die Staatsanwaltschaft See/Oberland und nach unbenütztem Ablauf der Rechtsmittelfrist bzw. Erledigung allfälliger Rechtsmittel an − die Vorinstanz − das Strassenverkehrsamt des Kantons Zürich, Abteilung Administrativ- massnahmen, Richterliche Fahrverbote, 8090 Zürich (PIN-Nr. 00.026.155.371) − Migrationsamt des Kantons Zürich − an die Koordinationsstelle Vostra zur Entfernung der Daten gemäss Art. 12 Abs. 1 lit. d VOSTRA mittels Kopie von Urk. 4/1</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24. November 2016 Der Präsident: Die Gerichtsschreiberin: lic. iur. M. Burger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