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SB160032 vom 28. März 2017</w:t>
      </w:r>
    </w:p>
    <w:p>
      <w:r>
        <w:t>ZH Obergericht, 2017-03-28, DE</w:t>
      </w:r>
    </w:p>
    <w:p>
      <w:r>
        <w:rPr>
          <w:b/>
        </w:rPr>
        <w:t xml:space="preserve">Quelle: </w:t>
      </w:r>
      <w:r>
        <w:t>https://mcp.opencaselaw.ch/entscheid/zh_obergericht_SB160032</w:t>
      </w:r>
    </w:p>
    <w:p>
      <w:r>
        <w:t>FR: ZH_OBERGERICHT SB160032 du 28 mars 2017</w:t>
      </w:r>
    </w:p>
    <w:p>
      <w:r>
        <w:t>IT: ZH_OBERGERICHT SB160032 del 28 marzo 2017</w:t>
      </w:r>
    </w:p>
    <w:p>
      <w:pPr>
        <w:pStyle w:val="Heading2"/>
      </w:pPr>
      <w:r>
        <w:t>Erwägungen</w:t>
      </w:r>
    </w:p>
    <w:p>
      <w:r>
        <w:rPr>
          <w:b/>
        </w:rPr>
        <w:t>E. 1</w:t>
      </w:r>
    </w:p>
    <w:p>
      <w:r>
        <w:t>Gegen das eingangs im Dispositiv wiedergegebene Urteil des Bezirksge- richts Dietikon vom 7. Dezember 2015 meldete die amtliche Verteidigung sogleich mündlich vor Schranken sowie mit Eingabe vom 8. Dezember 2015 rechtzeitig Berufung an (Prot. I S. 27; Urk. 68; Art. 399 Abs. 1 StPO). Nach Erhalt des be- gründeten Urteils am 22. Januar 2016 reichte die Verteidigung mit Eingabe vom 11. Februar 2016 (Datum des Poststempels) fristgerecht die Berufungserklärung im Sinne von Art. 399 Abs. 3 StPO ein (Urk. 72/2; Urk. 77). Mit Präsidialverfügung</w:t>
      </w:r>
    </w:p>
    <w:p>
      <w:r>
        <w:t>- 6 - vom 17. Februar 2016 wurde der Privatklägerin und der Staatsanwaltschaft Frist für Anschlussberufung oder einen Nichteintretensantrag angesetzt (Urk. 78; Urk. 79/2+3). Die Staatsanwaltschaft verzichtete auf eine Anschlussberufung und beantragte die Bestätigung des vorinstanzlichen Urteils (Urk. 80). Die Privatkläge- rin liess sich nicht vernehmen.</w:t>
      </w:r>
    </w:p>
    <w:p>
      <w:r>
        <w:rPr>
          <w:b/>
        </w:rPr>
        <w:t>E. 2</w:t>
      </w:r>
    </w:p>
    <w:p>
      <w:r>
        <w:t>Aus dem Anspruch auf rechtliches Gehör (Art. 29 Abs. 2 BV; Art. 3 Abs. 2 lit. c StPO) ergibt sich u.a. das Recht der Betroffenen, vor Erlass eines Entschei- des erhebliche Beweise beizubringen und mit erheblichen Beweisanträgen gehört zu werden (Art. 107 Abs. 1 lit. e StPO), wenn diese geeignet sind, den Entscheid zu beeinflussen. Dem Mitwirkungsrecht entspricht die Pflicht der Behörden, die Argumente und Verfahrensanträge der Parteien entgegenzunehmen und zu prü- fen sowie die ihr rechtzeitig und formrichtig angebotenen Beweismittel abzuneh- men (BGE 138 V 125 E. 2.1; BGE 137 II 266 E. 3.2; je mit Hinweisen). Das Ge- richt kann indessen in willkürfreier vorweggenommener Würdigung der zusätzlich beantragten Beweise annehmen, dass seine Überzeugung auch durch die Ab- nahme von weiteren Beweisen nicht geändert würde (Art. 139 Abs. 2 StPO; WOH- LERS, in: Kommentar zur Schweizerischen Strafprozessordnung, 2. Auflage, Zü- rich 2014, N 8 ff. zu Art. 139 StPO; BGE 136 I 229 E. 5.3; BGE 134 I 140 E. 5.3, m.w.H.).</w:t>
      </w:r>
    </w:p>
    <w:p>
      <w:r>
        <w:rPr>
          <w:b/>
        </w:rPr>
        <w:t>E. 2.1</w:t>
      </w:r>
    </w:p>
    <w:p>
      <w:r>
        <w:t>Da sich weitere Beweisergänzungen aufdrängten (Urk. 102 S. 4 ff.; Prot. II S. 34 f.), wurde das Forensische Institut Zürich (FOR) mit Beschluss vom 13. September 2016 beauftragt, die mutmassliche Tatwaffe (Fleischermesser, Lagernummer A007'708'443) zur Beantwortung von Ergänzungsfragen ergänzend zu untersuchen. Den Parteien wurde Frist angesetzt, um allfällige Ergänzungen anzubringen. Ausserdem wurde beschlossen, die Privatklägerin im Berufungsver- fahren als Auskunftsperson einzuvernehmen (Urk. 107; Prot. II S. 36 f.). Die Er- gänzungen des FOR bezüglich "Spuren am Messer nach Spülvorgang" wurden am 22. November 2016 erstattet und den Parteien anschliessend zur Kenntnis gebracht (Urk. 113; Urk. 117/1+2). Mit Eingabe vom 23. November 2016 stellte die amtliche Verteidigung ein Protokollberichtigungsbegehren, welches mit Be- schluss vom 16. Dezember 2016 gutgeheissen wurde (Urk. 111; Urk. 115 f.).</w:t>
      </w:r>
    </w:p>
    <w:p>
      <w:r>
        <w:rPr>
          <w:b/>
        </w:rPr>
        <w:t>E. 2.2</w:t>
      </w:r>
    </w:p>
    <w:p>
      <w:r>
        <w:t>Am 21. Dezember 2016 wurden die Parteien zur Fortsetzung der Beru- fungsverhandlung und die Privatklägerin über ihren Rechtsvertreter zur Befragung als Auskunftsperson auf den 28. März 2017 vorgeladen. Mit Eingabe vom 15. März 2017 stellte der unentgeltliche Rechtsvertreter der Privatklägerin ein Ge-</w:t>
      </w:r>
    </w:p>
    <w:p>
      <w:r>
        <w:t>- 7 - such um Dispensation von der Teilnahme an der Fortsetzung der Berufungsver- handlung, mit der Begründung, die Privatklägerin habe ihm mitgeteilt, dass es ihr nicht möglich sei, in die Schweiz zu fliegen und an der Einvernahme als Aus- kunftsperson teilzunehmen, da sie andernfalls ihre Arbeitsstelle als therapeuti- sche Masseurin in C._____ [Staat in Südeuropa] verlieren würde. Sie wolle aber betonen, dass ihre bisherigen Aussagen bei der Polizei und der Staatsanwalt- schaft wahrheitsgetreu seien, worauf sie nochmals verweise (Urk. 118). Das Dis- pensationsgesuch wurde vom Kammerpräsidenten am 20. März 2017 formlos bewilligt (Urk. 118 S. 2).</w:t>
      </w:r>
    </w:p>
    <w:p>
      <w:r>
        <w:rPr>
          <w:b/>
        </w:rPr>
        <w:t>E. 2.3</w:t>
      </w:r>
    </w:p>
    <w:p>
      <w:r>
        <w:t>Am 28. März 2017 fand die Fortsetzung der Berufungsverhandlung statt, anlässlich welcher der Verteidiger sowie die Staatsanwaltschaft zum ergän- zenden Gutachten des FOR vom 22. November 2016 Stellung nehmen konnten (Prot. II S. 39 ff.). Im Anschluss erfolgten die interne Urteilsberatung sowie die mündliche Eröffnung des Urteils. II. Prozessuales Gemäss Art. 402 StPO in Verbindung mit Art. 437 StPO wird die Rechtskraft des angefochtenen Urteils im Umfang der Anfechtung gehemmt. Nachdem die Ur- teilsdispositivziffern 4, 2. Satz (Abweisung einer Fr. 7'500.– übersteigenden Ge- nugtuung), 5–7 (Herausgaben/Einziehung), 8 (Kostenfestsetzung) und 11 (Ent- schädigung amtliche Verteidigung), unangefochten blieben, ist mittels Beschluss festzustellen, dass das vorinstanzliche Urteil in diesem Umfang in Rechtskraft er- wachsen ist. III. Beweisanträge 1. Gleichzeitig mit der Berufungserklärung liess die Beschuldigte Beweisan- träge stellen (Urk. 77 S. 2 ff.). Sie beantragte die Befragung von D._____, E._____ und von Korporal F._____, Kantonspolizei Zürich, als Zeugen sowie die gutachterliche Abklärung der Frage, inwieweit (starke) Fingerabdrücke oder sons- tige DNA-Spuren auf dem Griff des sichergestellten, angeblichen Tatmessers</w:t>
      </w:r>
    </w:p>
    <w:p>
      <w:r>
        <w:t>- 8 - durch einen Spülvorgang ohne Spülmittel entfernt werden könnten und wie es sich diesbezüglich mit Blutanhaftungen und sonstigen Spuren, wie z.B. Stoffres- ten, verhält sowie ob (starke) Fingerabdrücke abgewaschen werden könnten, während Blutanhaftungen zurückbleiben (Urk. 77 S. 10). Mit Fax-Eingabe der Ver- teidigung vom 30. August 2016 und an der Berufungsverhandlung vom 6. Sep- tember 2016 wurden diese Beweisanträge wiederholt (Urk. 90; Urk. 102).</w:t>
      </w:r>
    </w:p>
    <w:p>
      <w:r>
        <w:rPr>
          <w:b/>
        </w:rPr>
        <w:t>E. 3</w:t>
      </w:r>
    </w:p>
    <w:p>
      <w:r>
        <w:t>Der Anklagesachverhalt ist daher aufgrund der Untersuchungsakten und der vor Gericht vorgebrachten Argumente nach den allgemein gültigen Beweisre- geln zu würdigen.</w:t>
      </w:r>
    </w:p>
    <w:p>
      <w:r>
        <w:rPr>
          <w:b/>
        </w:rPr>
        <w:t>E. 3.1</w:t>
      </w:r>
    </w:p>
    <w:p>
      <w:r>
        <w:t>Die Vorinstanz hat die rechtstheoretischen Grundlagen der Beweiswür- digung und der Würdigung von Aussagen mit der Unterscheidung zwischen der allgemeinen Glaubwürdigkeit der aussagenden Person und der Glaubhaftigkeit des konkreten Inhalts der Aussagen korrekt aufgeführt (Urk. 73 S. 5 ff.) und die generelle Glaubwürdigkeit der befragten Personen zutreffend gewürdigt. Es kann vollumfänglich darauf verwiesen werden (Urk. 73 S. 7 ff.; Art. 82 Abs. 4 StPO). Zu korrigieren ist einzig die vorinstanzliche Erwägung, wonach Zeugen, welche auf die strengen Straffolgen bei wissentlich falscher Zeugenaussage gemäss Art. 307</w:t>
      </w:r>
    </w:p>
    <w:p>
      <w:r>
        <w:t>- 11 - StGB hingewiesen wurden, einzig aufgrund dieses Hinweises eine generell ge- steigerte Glaubwürdigkeit aufweisen würden (Urk. 73 S. 9). Eine solche Strafan- drohung dürfte je nach Adressat ganz unterschiedlich aufgenommen werden und nicht bei allen Zeugen den gleichen Eindruck und dieselbe Wirkung hinterlassen.</w:t>
      </w:r>
    </w:p>
    <w:p>
      <w:r>
        <w:rPr>
          <w:b/>
        </w:rPr>
        <w:t>E. 3.2</w:t>
      </w:r>
    </w:p>
    <w:p>
      <w:r>
        <w:t>Ergänzend ist zu beachten, dass gemäss bundesgerichtlicher Recht- sprechung bei der Würdigung von Aussagen nicht mehr wie früher Gewicht auf die generelle Glaubwürdigkeit des Einvernommenen im Sinne einer dauerhaften personalen Eigenschaft gelegt wird, sondern diesem Gesichtspunkt kaum mehr relevante Bedeutung zukommt. Weitaus bedeutender für die Wahrheitsfindung ist die Glaubhaftigkeit der konkreten Aussage, welche durch methodische Analyse ihres Inhalts darauf überprüft wird, ob die auf ein bestimmtes Geschehen bezoge- nen Angaben einem tatsächlichen Erleben des Aussagenden entspringen (BGE 133 I 33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