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SB150488 vom 17. März 2016</w:t>
      </w:r>
    </w:p>
    <w:p>
      <w:r>
        <w:t>ZH Obergericht, 2016-03-17, DE</w:t>
      </w:r>
    </w:p>
    <w:p>
      <w:r>
        <w:rPr>
          <w:b/>
        </w:rPr>
        <w:t xml:space="preserve">Quelle: </w:t>
      </w:r>
      <w:r>
        <w:t>https://mcp.opencaselaw.ch/entscheid/zh_obergericht_SB150488</w:t>
      </w:r>
    </w:p>
    <w:p>
      <w:r>
        <w:t>FR: ZH_OBERGERICHT SB150488 du 17 mars 2016</w:t>
      </w:r>
    </w:p>
    <w:p>
      <w:r>
        <w:t>IT: ZH_OBERGERICHT SB150488 del 17 marzo 2016</w:t>
      </w:r>
    </w:p>
    <w:p>
      <w:pPr>
        <w:pStyle w:val="Heading2"/>
      </w:pPr>
      <w:r>
        <w:t>Erwägungen</w:t>
      </w:r>
    </w:p>
    <w:p>
      <w:r>
        <w:rPr>
          <w:b/>
        </w:rPr>
        <w:t>E. 1</w:t>
      </w:r>
    </w:p>
    <w:p>
      <w:r>
        <w:t>Mit Strafbefehl der Staatsanwaltschaft Limmattal/Albis vom 19. Dezember 2014 wurde der Beschuldigte der mehrfachen, teilweise versuchten Widerhandlung ge- gen das Betäubungsmittelgesetz im Sinne von Art. 19 Abs. 1 lit. c und d BetmG, teilweise in Verbindung mit Art. 22 Abs. 1 StGB, sowie der mehrfachen Übertre- tung des Betäubungsmittelgesetzes im Sinne von Art. 19a Ziff. 1 BetmG schuldig gesprochen und mit einer Geldstrafe von 180 Tagessätzen zu Fr. 30.– unter An- rechnung von 2 Tagen Haft und teilweise als Zusatzstrafe zum Strafbefehl der Staatsanwaltschaft Zürich-Limmat vom 9. Oktober 2014 sowie mit einer Busse von Fr. 900.– bestraft. Der Vollzug der Geldstrafe wurde aufgeschoben unter An- setzung einer Probezeit von 2 Jahren. Auf den Widerruf der mit Strafbefehl der Staatsanwaltschaft Zürich-Limmat vom 9. Oktober 2014 ausgefällten bedingten Geldstrafe von 10 Tagessätzen zu Fr. 30.– wurde verzichtet und die Probezeit von 2 Jahren um 1 Jahr verlängert (Urk. 15). Der Beschuldigte liess mit Eingabe vom 16. Januar 2015 Einsprache gegen diesen Strafbefehl erheben (Urk. 18). In der Folge wurde das Verfahren am 27. Januar 2015 an das Bezirksgericht Die- tikon überwiesen (Urk. 19).</w:t>
      </w:r>
    </w:p>
    <w:p>
      <w:r>
        <w:rPr>
          <w:b/>
        </w:rPr>
        <w:t>E. 2</w:t>
      </w:r>
    </w:p>
    <w:p>
      <w:r>
        <w:t>Mit Urteil des Bezirksgerichts Dietikon, Einzelgericht in Strafsachen, vom 16. Juli 2015 wurde der Beschuldigte der Widerhandlung gegen das Betäubungs- mittelgesetz im Sinne von Art. 19 Abs. 1 lit. d BetmG sowie der mehrfachen Über- tretung des Betäubungsmittelgesetzes im Sinne von Art. 19a Ziff. 1 BetmG schul- dig gesprochen und mit einer Geldstrafe von 210 Tagessätzen zu Fr. 10.–, teil- weise als Zusatzstrafe zum Strafbefehl der Staatsanwaltschaft Zürich-Limmat vom 9. Oktober 2014, sowie mit einer Busse von Fr. 500.– bestraft. An die Geld- strafe wurden 4 Tage Haft angerechnet. Der Vollzug der Geldstrafe wurde aufge- schoben unter Ansetzung einer Probezeit von 2 Jahren. Auf den Widerruf der mit Strafbefehl der Staatsanwaltschaft Zürich-Limmat vom 9. Oktober 2014 ausgefäll-</w:t>
      </w:r>
    </w:p>
    <w:p>
      <w:r>
        <w:t>- 6 - ten bedingten Geldstrafe von 10 Tagessätzen zu Fr. 30.– wurde verzichtet und die Probezeit von 2 Jahren um 1 Jahr verlängert (Urk. 48).</w:t>
      </w:r>
    </w:p>
    <w:p>
      <w:r>
        <w:rPr>
          <w:b/>
        </w:rPr>
        <w:t>E. 3</w:t>
      </w:r>
    </w:p>
    <w:p>
      <w:r>
        <w:t>Gegen dieses Urteil liess der Beschuldigte A._____ vor Schranken (Prot. I S. 16) Berufung anmelden. Das vollständig begründete Urteil (Urk. 48) wurde von seinem Verteidiger am 30. November 2015 entgegengenommen (Urk. 47/2). Mit Eingabe vom 21. Dezember 2015 reichte der Verteidiger die Berufungserklärung fristgerecht ein (Urk. 50). Mit Präsidialverfügung vom 12. Januar 2016 wurde der Staatsanwaltschaft Limmattal / Albis unter Hinweis auf die Berufungserklärung des Beschuldigten Frist zur Erhebung einer Anschlussberufung bzw. zum Antrag auf Nichteintreten auf die Berufung angesetzt (Urk. 53). Mit Eingabe vom 15. Ja- nuar 2016 erklärte die Staatsanwaltschaft Verzicht auf Anschlussberufung und beantragte die Bestätigung des vorinstanzlichen Urteils (Urk. 55). Am 15. März 2016 fand die Berufungsverhandlung statt. Das Verfahren ist spruchreif.</w:t>
      </w:r>
    </w:p>
    <w:p>
      <w:r>
        <w:rPr>
          <w:b/>
        </w:rPr>
        <w:t>E. 4</w:t>
      </w:r>
    </w:p>
    <w:p>
      <w:r>
        <w:t>Gemäss Art. 402 StPO hat die Berufung im Umfang der Anfechtung aufschie- bende Wirkung. Die Rechtskraft des angefochtenen Urteils wird somit im Umfang der Berufungsanträge gehemmt, während die von der Berufung nicht erfassten Punkte in Rechtskraft erwachsen (vgl. BSK StPO-Eugster, Art. 402 N 1 f.). Der Beschuldigte lässt das gesamte Urteil anfechten und beantragte in der Berufungs- erklärung als Hauptantrag, auf die Anklage sei nicht einzutreten. Somit ist keine Dispositivziffer in Rechtskraft erwachsen.</w:t>
      </w:r>
    </w:p>
    <w:p>
      <w:r>
        <w:rPr>
          <w:b/>
        </w:rPr>
        <w:t>E. 5</w:t>
      </w:r>
    </w:p>
    <w:p>
      <w:r>
        <w:t>Anlässlich der Berufungsverhandlung vom 15. März 2016 liessen die Parteien die eingangs erwähnten Anträge stellen.</w:t>
      </w:r>
    </w:p>
    <w:p>
      <w:r>
        <w:rPr>
          <w:b/>
        </w:rPr>
        <w:t>E. 6</w:t>
      </w:r>
    </w:p>
    <w:p>
      <w:r>
        <w:t>Rechtfertigungs- oder Schuldausschlussgründe liegen nicht vor und werden auch nicht geltend gemacht. Folglich ist der Beschuldigte der Widerhandlung ge- gen das Betäubungsmittelgesetz im Sinne von Art. 19 Abs. 1 lit. d BetmG sowie der mehrfachen Übertretung des Betäubungsmittelgesetzes im Sinne von Art. 19a Ziff. 1 BetmG schuldig zu sprechen. V. Strafzumessung, Vollzug und Widerruf 1. Zutreffend hat die Vorinstanz erkannt, dass zwar hinsichtlich der vor dem</w:t>
      </w:r>
    </w:p>
    <w:p>
      <w:r>
        <w:rPr>
          <w:b/>
        </w:rPr>
        <w:t>E. 9</w:t>
      </w:r>
    </w:p>
    <w:p>
      <w:r>
        <w:t>Die zweitinstanzliche Gerichtsgebühr wird festgesetzt auf: Fr. 2'500.– ; die weiteren Kosten betragen: Fr. 4'603.20 amtliche Verteidigung</w:t>
      </w:r>
    </w:p>
    <w:p>
      <w:r>
        <w:rPr>
          <w:b/>
        </w:rPr>
        <w:t>E. 10</w:t>
      </w:r>
    </w:p>
    <w:p>
      <w:r>
        <w:t>Die Kosten des Berufungsverfahrens, mit Ausnahme derjenigen der amtlichen Verteidigung, werden dem Beschuldigten auferlegt. Die Kosten der amtlichen Verteidigung werden auf die Gerichtskasse genommen. Die Rückzahlungspflicht bleibt vorbehalten.</w:t>
      </w:r>
    </w:p>
    <w:p>
      <w:r>
        <w:rPr>
          <w:b/>
        </w:rPr>
        <w:t>E. 11</w:t>
      </w:r>
    </w:p>
    <w:p>
      <w:r>
        <w:t>Schriftliche Mitteilung im Dispositiv an − die amtliche Verteidigung im Doppel für sich und zuhanden des Beschuldigten − die Staatsanwaltschaft Limmattal / Albis sowie in vollständiger Ausfertigung an − die amtliche Verteidigung im Doppel für sich und zuhanden des Beschuldigten − die Staatsanwaltschaft Limmattal / Albis und nach unbenütztem Ablauf der Rechtsmittelfrist bzw. Erledigung allfälli- ger Rechtsmittel an − die Vorinstanz − das Migrationsamt des Kantons Zürich − die Koordinationsstelle VOSTRA mit Formular A und Formular B − die Kantonspolizei Zürich, Asservaten-Triage − die Kantonspolizei Zürich, Polizeistation … − die Kasse des Bezirksgericht Dietikon − die Staatsanwaltschaft Zürich-Limmat in die Akten DAST1/2014/5908.</w:t>
      </w:r>
    </w:p>
    <w:p>
      <w:r>
        <w:rPr>
          <w:b/>
        </w:rPr>
        <w:t>E. 12</w:t>
      </w:r>
    </w:p>
    <w:p>
      <w:r>
        <w:t>Rechtsmittel:</w:t>
      </w:r>
    </w:p>
    <w:p>
      <w:r>
        <w:t>- 17 -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17. März 2016 Der Präsident: Der Gerichtsschreiber: Oberrichter lic. iur. Spiess lic. iur. Hafner</w:t>
      </w:r>
    </w:p>
    <w:p>
      <w:r>
        <w:t>- 18 -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