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SB150398 vom 1. Juli 2016</w:t>
      </w:r>
    </w:p>
    <w:p>
      <w:r>
        <w:t>ZH Obergericht, 2016-07-01, DE</w:t>
      </w:r>
    </w:p>
    <w:p>
      <w:r>
        <w:rPr>
          <w:b/>
        </w:rPr>
        <w:t xml:space="preserve">Quelle: </w:t>
      </w:r>
      <w:r>
        <w:t>https://mcp.opencaselaw.ch/entscheid/zh_obergericht_SB150398</w:t>
      </w:r>
    </w:p>
    <w:p>
      <w:r>
        <w:t>FR: ZH_OBERGERICHT SB150398 du 1 juillet 2016</w:t>
      </w:r>
    </w:p>
    <w:p>
      <w:r>
        <w:t>IT: ZH_OBERGERICHT SB150398 del 1 luglio 2016</w:t>
      </w:r>
    </w:p>
    <w:p>
      <w:pPr>
        <w:pStyle w:val="Heading2"/>
      </w:pPr>
      <w:r>
        <w:t>Erwägungen</w:t>
      </w:r>
    </w:p>
    <w:p>
      <w:r>
        <w:rPr>
          <w:b/>
        </w:rPr>
        <w:t>E. 1</w:t>
      </w:r>
    </w:p>
    <w:p>
      <w:r>
        <w:t>Der Beschuldigte ist der mehrfachen Nötigung nicht schuldig und wird frei- gesprochen.</w:t>
      </w:r>
    </w:p>
    <w:p>
      <w:r>
        <w:rPr>
          <w:b/>
        </w:rPr>
        <w:t>E. 1.1</w:t>
      </w:r>
    </w:p>
    <w:p>
      <w:r>
        <w:t>Standpunkt der Staatsanwaltschaft Die Staatsanwaltschaft stellte den Antrag, dass dem Beschuldigten in An- wendung von Art. 426 Abs. 2 StPO die Verfahrenskosten aufzuerlegen seien. Zur Begründung führte sie aus, der Beschuldigte habe mit seinem Verhalten die Ge-</w:t>
      </w:r>
    </w:p>
    <w:p>
      <w:r>
        <w:t>- 19 - schädigte – gemeint offensichtlich: die Privatklägerin 1 (C._____) –mehrfach aus deren eigenen Wohnung vertrieben und ihr den Einlass verwehrt. Auch wenn damit die strafrechtliche Grenze noch nicht überschritten sein sollte, habe er mit diesem Verhalten zumindest die Einleitung des Strafverfahrens verursacht. Die Vorinstanz sei denn auch auf Seite 7 ihres Urteils zum Schluss gekommen, es sei unstrittig, dass der Beschuldigte in der fremden Wohnung verblieben sei, die Türe hinter der Privatklägerin 1 abgeschlossen und sie damit aus deren Woh- nung ausgesperrt habe. Dieses Verhalten sei dem Beschuldigten in zivilrechtli- cher Weise vorzuwerfen, nachdem er der Privatklägerin 1, die Mieterin der fragli- chen Wohnung sei, den Zugang zu ihrem Mietobjekt verwehrt oder zumindest er- schwert habe (Urk. 80 S. 2).</w:t>
      </w:r>
    </w:p>
    <w:p>
      <w:r>
        <w:rPr>
          <w:b/>
        </w:rPr>
        <w:t>E. 1.2</w:t>
      </w:r>
    </w:p>
    <w:p>
      <w:r>
        <w:t>Standpunkt des Beschuldigten Der Beschuldigte lässt (u.a.) einwenden, dass entgegen den Ausführungen der Staatsanwaltschaft dem erstinstanzlichen Urteil auch entnommen werden könne, es sei nicht aktenkundig, ob die Privatklägerin 1 bei besagtem Vorkomm- nis im Besitz ihrer Wohnungsschlüssel gewesen sei oder nicht. Weiter könne den Akten nicht entnommen werden, ob sich die Wohnungstüre von innen derart ab- schliessen lasse, dass ein Aufschliessen mittels des Wohnungsschlüssels von Aussen verunmöglicht werde. Ebenso wenig lasse sich nach der Aktenlage eru- ieren, ob und nach welcher Dauer die Privatklägerin 1 überhaupt einen Versuch unternommen habe, auf eigenen Willen in die Wohnung zurückzukehren, zumal sie ja selber ausgesagt habe, einen inneren Kampf über die Rückkehr in die Wohnung geführt zu haben. Von daher könne auch nicht ausgeschlossen wer- den, dass ihr ein Zugang zu ihrer eigenen Wohnung schon früher möglich gewe- sen wäre. Da demnach vorliegend unklar bleibe, ob die Privatklägerin einen Ver- such unternommen habe, in ihre Wohnung zurückzukehren, könne von einer Verwehrung oder Erschwerung des Zugangs zu ihrem Mietobjekt nicht die Rede sein (Urk. 83 S. 11 Rz. 2.1. ff.).</w:t>
      </w:r>
    </w:p>
    <w:p>
      <w:r>
        <w:t>- 20 - 2. Prüfung</w:t>
      </w:r>
    </w:p>
    <w:p>
      <w:r>
        <w:rPr>
          <w:b/>
        </w:rPr>
        <w:t>E. 1.3</w:t>
      </w:r>
    </w:p>
    <w:p>
      <w:r>
        <w:t>Verfahrenseinstellungen Mit Verfügung der Staatsanwaltschaft Limmattal/Albis vom 25. November 2014 wurde das Verfahren betreffend Tötungsversuch zu Lasten der Privatkläge- rin 2 eingestellt. Dem Beschuldigten wurde hierfür ausdrücklich "mangels we- sentlicher Umtriebe und besonders schwerer Verletzung in seinen persönlichen Verhältnissen durch diesen Tatvorwurf" weder eine Entschädigung noch eine Genugtuung zugesprochen (Urk. 22). Mit weiterer Verfügung der Staatsanwaltschaft Limmattal/Albis vom 25. No- vember 2014 wurde das Verfahren – infolge Rückzugs des Strafantrags durch die Privatklägerin 2 – auch betreffend Körperverletzung, Drohung, Tätlichkeiten, Beschimpfung (und implizit auch: betreffend Hausfriedensbruch) eingestellt. Auch diesbezüglich wurde dem Beschuldigten weder Entschädigung noch Ge- nugtuung zugesprochen (Urk. 23).</w:t>
      </w:r>
    </w:p>
    <w:p>
      <w:r>
        <w:t>- 5 - 2. Erstinstanzliches Verfahren</w:t>
      </w:r>
    </w:p>
    <w:p>
      <w:r>
        <w:rPr>
          <w:b/>
        </w:rPr>
        <w:t>E. 2</w:t>
      </w:r>
    </w:p>
    <w:p>
      <w:r>
        <w:t>Von der Anordnung einer Weisung wird abgesehen.</w:t>
      </w:r>
    </w:p>
    <w:p>
      <w:r>
        <w:rPr>
          <w:b/>
        </w:rPr>
        <w:t>E. 2.1</w:t>
      </w:r>
    </w:p>
    <w:p>
      <w:r>
        <w:t>Gemäss Art. 426 Abs. 2 StPO können einer beschuldigten Person trotz Verfahrenseinstellung oder Freispruch die Verfahrenskosten ganz oder teil- weise auferlegt werden, wenn sie rechtswidrig und schuldhaft die Einleitung des Verfahrens bewirkt oder deren Durchführung erschwert hat. Diese Bestimmung übernimmt die bisherige Rechtsprechung des Bundesgerichts, wonach einem Beschuldigten bei Freispruch oder Einstellung des Verfahrens dann Kosten auf- erlegt werden, wenn er in zivilrechtlich vorwerfbarer Weise gegen eine Verhal- tensnorm, die sich aus der Gesamtheit der schweizerischen Rechtsordnung er- geben kann, klar verstossen und dadurch das Strafverfahren veranlasst oder dessen Durchführung erschwert hat (BGE 119 Ia 332 E. 1b S. 334; 116 Ia 162 E. 2a S. 166, je mit Hinweisen). Die Kostenauflage wird durch den Vorbehalt ein- geschränkt, dass es sich um einen klaren Verstoss gegen die fragliche Verhal- tensnorm handeln muss. Voraussetzung ist daher, dass sich der entsprechende Vorwurf in tatsächlicher Hinsicht ausschliesslich auf unbestrittene oder bereits klar nachgewiesene Umstände stützt. Die Beweislast trägt der Staat (BGE 120 Ia 147 E. 3b; BGE 112 Ia 371 E. 2a; Pra 2010 Nr. 48 S. 351 nicht publ. E. 1.2.; Ur- teil 6B_67/2014 vom 2. September 2014 E.2.3; BSK StPO - Domeisen, Art. 426 N 23 und 34 f.).</w:t>
      </w:r>
    </w:p>
    <w:p>
      <w:r>
        <w:rPr>
          <w:b/>
        </w:rPr>
        <w:t>E. 2.2</w:t>
      </w:r>
    </w:p>
    <w:p>
      <w:r>
        <w:t>Die Staatsanwaltschaft macht mit ihren Ausführungen sinngemäss gel- tend, dass dem Beschuldigten in zivilrechtlicher Hinsicht eine Besitzesentziehung und/oder eine Besitzesstörung im Sinne von Art. 927 f. ZGB vorzuwerfen sei und er damit das Strafverfahren veranlasst habe. Mit der Verteidigung ist allerdings festzuhalten, dass das von der Staatsan- waltschaft in diesem Zusammenhang behauptete Tatsachenfundament – der Be- schuldigte habe mit seinem Verhalten der Privatklägerin 1 den Zugang zur eige- nen Wohnung verwehrt oder erschwert – nicht nachgewiesen werden kann: Zunächst ist festzuhalten, dass entgegen den Ausführungen der Staatsan- waltschaft dem Beschuldigten nicht vorgeworfen wurde, er habe die Privatkläge-</w:t>
      </w:r>
    </w:p>
    <w:p>
      <w:r>
        <w:t>- 21 - rin 1 mehrfach aus deren eigenen Wohnung vertrieben und ihr den Zugang ver- sperrt. Die Anklage vom 25. November 2014 (Anklageziffer 1 lit. a) wirft dem Be- schuldigten lediglich ein einmaliges entsprechendes Verhalten vor (vgl. Urk. 27 S. 2). In Prüfung dieses Vorwurfs kam die Vorinstanz zum Schluss, es sei zwar unstrittig, dass die Privatklägerin 1 nach einer Auseinandersetzung mit dem Be- schuldigten ihre Wohnung verliess, dieser in der fremden Wohnung verblieb, die Türe hinter der Privatklägerin 1 abschloss und sie damit aus deren Wohnung aussperrte. Auch sei nicht strittig, dass die Privatklägerin 1 nach einer Dauer von zehn Minuten wieder ihre Wohnung habe betreten können, nachdem der Be- schuldigte ihr den Zugang zu dieser wieder gewährt habe. Indes könne aufgrund der zur Verfügung stehenden Aktenlage nicht ausgeschlossen werden, dass die Privatklägerin bei besagtem Vorkommnis im Besitz ihrer Wohnungsschlüssel gewesen sei und ein Aufschliessen mittels des Wohnungsschlüssels von Aussen auch nach einem Abschliessen von Innen noch möglich gewesen sei. Auch lasse sich nicht eruieren, ob und nach welcher Dauer die Privatklägerin 1 überhaupt einen Versuch unternommen habe, auf eigenen Willen in die Wohnung zurück- zukehren. Von daher könne auch nicht ausgeschlossen werden, dass ihr ein Zu- gang in die Wohnung schon früher möglich gewesen wäre (vgl. Urk. 71 S. 7 f.). Vor dem Hintergrund dieses von der Vorinstanz mit überzeugender Argu- mentation erstellten Sachverhalts kann nicht gesagt werden, dass der Beschul- digte der Privatklägerin 1 den Zugang zu ihrer eigenen Wohnung verwehrt oder erschwert habe. Vielmehr muss zumindest zu seinen Gunsten angenommen werden, dass die Privatklägerin 1 auch (schon vor der Einlassgewährung des Beschuldigten) auf eigenen Willen in die Wohnung hätte zurückkehren können. Der Nachweis einer zivilrechtlich relevanten Besitzesentziehung oder Be- sitzesstörung kann damit nicht erbracht werden. Eine Kostenauflage an den Beschuldigten im Sinne von Art. 426 Abs. 2 StPO scheidet somit aus.</w:t>
      </w:r>
    </w:p>
    <w:p>
      <w:r>
        <w:rPr>
          <w:b/>
        </w:rPr>
        <w:t>E. 2.3</w:t>
      </w:r>
    </w:p>
    <w:p>
      <w:r>
        <w:t>Die vorinstanzliche Kostenregelung (Dispositivziffer 3) ist demnach zu bestätigen.</w:t>
      </w:r>
    </w:p>
    <w:p>
      <w:r>
        <w:t>- 22 -</w:t>
      </w:r>
    </w:p>
    <w:p>
      <w:r>
        <w:rPr>
          <w:b/>
        </w:rPr>
        <w:t>E. 2.4</w:t>
      </w:r>
    </w:p>
    <w:p>
      <w:r>
        <w:t>Die Kosten des Berufungsverfahrens tragen die Parteien nach Mass- gabe ihres Obsiegens und Unterliegens (Art. 428 Abs. 1 StPO). Der Beschuldigte unterliegt mit seinem Antrag auf Zuspruch von Schaden- ersatz und obsiegt im Übrigen weitgehend. Die Staatsanwaltschaft unterliegt mit ihrer Anschlussberufung (mit Ausnahme des Eventualantrags auf Abweisung des Schadersatzbegehrens des Beschuldigten). Bei diesem Verfahrensausgang sind die Kosten des Berufungsverfahrens, mit Ausnahme derjenigen der amtlichen Verteidigung, dem Beschuldigten ledig- lich zu einem Drittel aufzuerlegen und im Übrigen auf die Gerichtskasse zu neh- men. Der amtliche Verteidiger hat mit eingereichter Kostennote (ohne Datum) ein Honorar von Fr. 5'133.– geltend gemacht (Urk. 85), welches angemessen er- scheint. Die Kosten der amtlichen Verteidigung sind auf die Gerichtskasse zu nehmen, unter Vorbehalt der Rückforderung im Sinne von Art. 135 Abs. 4 StPO im Umfang eines Drittels. Es wird beschlossen:</w:t>
      </w:r>
    </w:p>
    <w:p>
      <w:r>
        <w:rPr>
          <w:b/>
        </w:rPr>
        <w:t>E. 2.5</w:t>
      </w:r>
    </w:p>
    <w:p>
      <w:r>
        <w:t>In Erwägung aller relevanten Umstände erscheint es demnach – in Nachachtung der höchstrichterlichen Rechtsprechung zum Regelfall des kürze- ren Freiheitsentzugs – gerechtfertigt, den Beschuldigten für die durch die unge- rechtfertigte Untersuchungshaft von 22 Tagen erlittene seelische Unbill mit Fr. 200.– pro Tag zu entschädigen. Dem Beschuldigten ist somit insgesamt eine Genugtuung von (gerundet) Fr. 4'500.– zuzüglich 5 % Zins seit dem 29. Juni 2014, dem mittleren Verfall der Haftdauer, zuzusprechen. III. Kostenfolgen 1. Vorbringen der Parteien</w:t>
      </w:r>
    </w:p>
    <w:p>
      <w:r>
        <w:rPr>
          <w:b/>
        </w:rPr>
        <w:t>E. 2.6</w:t>
      </w:r>
    </w:p>
    <w:p>
      <w:r>
        <w:t>An diesen vor erster Instanz zu Protokoll gegebenen Verzicht auf Schadenersatz bleibt der Beschuldigte nach der vorstehend zitierten Rechtspre- chung grundsätzlich gebunden. Entgegen der sinngemässen Auffassung seines aktuellen Verteidigers kann er im Berufungsverfahren deshalb nicht darauf zu- rückkommen. Etwas anderes gälte allenfalls höchstens dann, wenn von Willens- mängeln des Beschuldigten anlässlich der Verzichtserklärung ausgegangen wer- den müsste. Entsprechendes wurde indes seitens des Beschuldigten und seines Verteidigers im Berufungsverfahren nicht geltend gemacht und ist im Übrigen auch nicht ersichtlich.</w:t>
      </w:r>
    </w:p>
    <w:p>
      <w:r>
        <w:rPr>
          <w:b/>
        </w:rPr>
        <w:t>E. 2.7</w:t>
      </w:r>
    </w:p>
    <w:p>
      <w:r>
        <w:t>Das Schadenersatzbegehren des Beschuldigten ist deshalb abzuweisen. B. Genugtuung 1. Vorbringen der Parteien</w:t>
      </w:r>
    </w:p>
    <w:p>
      <w:r>
        <w:rPr>
          <w:b/>
        </w:rPr>
        <w:t>E. 3</w:t>
      </w:r>
    </w:p>
    <w:p>
      <w:r>
        <w:t>Die Entscheidgebühr fällt ausser Ansatz; die übrigen Kosten inklusive der Kosten für die amtliche Verteidigung werden auf die Gerichtskasse genom- men.</w:t>
      </w:r>
    </w:p>
    <w:p>
      <w:r>
        <w:rPr>
          <w:b/>
        </w:rPr>
        <w:t>E. 3.1</w:t>
      </w:r>
    </w:p>
    <w:p>
      <w:r>
        <w:t>Berufung des Beschuldigten Mit einem von ihm selbst verfassten Schreiben vom 27. Mai 2015 meldete der Beschuldigte gegen das vorinstanzliche Urteil Berufung an (Urk. 44). Am 29. September 2015 reichte er eine selbstverfasste Berufungserklärung ein, wo- raus sich ergab, dass er mit seiner Berufung wohl eine Erhöhung der Genugtuung und den Ersatz weiteren Schadens verlangen will (Urk. 77).</w:t>
      </w:r>
    </w:p>
    <w:p>
      <w:r>
        <w:rPr>
          <w:b/>
        </w:rPr>
        <w:t>E. 3.2</w:t>
      </w:r>
    </w:p>
    <w:p>
      <w:r>
        <w:t>Bestellung eines neuen amtlichen Verteidigers Da aufgrund der vorerwähnten Eingaben des Beschuldigten davon auszu- gehen war, dass dieser zur gehörigen Wahrnehmung seiner Rechte auch im Be- rufungsverfahren eines anwaltlichen Beistandes bedarf, wurde ihm mit Verfügung</w:t>
      </w:r>
    </w:p>
    <w:p>
      <w:r>
        <w:t>- 6 - vom 13. Oktober 2015 Rechtsanwalt lic. iur. X1._____ als amtlicher Verteidiger bestellt (Urk. 78).</w:t>
      </w:r>
    </w:p>
    <w:p>
      <w:r>
        <w:rPr>
          <w:b/>
        </w:rPr>
        <w:t>E. 3.3</w:t>
      </w:r>
    </w:p>
    <w:p>
      <w:r>
        <w:t>Anschlussberufung der Staatsanwaltschaft Mit Eingabe vom 16. Oktober 2015 erhob die Staatsanwaltschaft Anschluss- berufung, mit dem Hauptantrag, "die Kosten des gesamten Verfahrens seien voll- umfänglich dem Beschuldigten aufzuerlegen", und dem Eventualantrag "Falls die Kosten auf die Gerichtskasse genommen werden, ist dem Beschuldigten weder eine Entschädigung noch eine Genugtuung zuzusprechen" (Urk. 80).</w:t>
      </w:r>
    </w:p>
    <w:p>
      <w:r>
        <w:rPr>
          <w:b/>
        </w:rPr>
        <w:t>E. 3.4</w:t>
      </w:r>
    </w:p>
    <w:p>
      <w:r>
        <w:t>Schriftenwechsel Mit Beschluss vom 20. November 2015 wurde die schriftliche Durchführung des Berufungsverfahrens angeordnet und dem nunmehr amtlich verteidigten Be- schuldigten Frist zur Berufungsschrift angesetzt (Urk. 81). Dieser Beschluss wur- de dem Beschuldigten am 30. November 2015 zugestellt (Urk. 82/1). Mit Eingabe vom 18. Dezember 2015 (auch Poststempel) liess er innert Frist die Berufungs- schrift einreichen, mit welcher nicht nur die Berufungsanträge gestellt und be- gründet, sondern auch bereits die Anschlussberufung der Staatsanwaltschaft be- antwortet wurde (Urk. 83). Mit Präsidialverfügung vom 6. Januar 2016 wurde der Staatsanwaltschaft Frist zur Berufungsantwort angesetzt (Urk. 86), welche diese ungenutzt verstreichen liess. Die Vorinstanz verzichtete auf Vernehmlassung (Urk. 88).</w:t>
      </w:r>
    </w:p>
    <w:p>
      <w:r>
        <w:rPr>
          <w:b/>
        </w:rPr>
        <w:t>E. 3.5</w:t>
      </w:r>
    </w:p>
    <w:p>
      <w:r>
        <w:t>Umfang der Berufung Der Freispruch (Dispositivziffer 1), das Absehen von einer Weisung (Dispo- sitivziffer 2) und die Festsetzung der Kosten der damaligen amtlichen Verteidi- gung (Dispositivziffer 6) durch die Vorinstanz wurden von keiner Seite angefoch- ten. Das erstinstanzliche Urteil ist entsprechend in Rechtskraft erwachsen, was vorab mittels Beschluss festzustellen ist.</w:t>
      </w:r>
    </w:p>
    <w:p>
      <w:r>
        <w:t>- 7 - Berufungsthema ist somit die Frage der Entschädigung und Genugtuung des Beschuldigten (Dispositivziffer 4 und 5) sowie die erstinstanzliche Kostenauf- lage (Dispositivziffer 3). II. Entschädigung A. Schadenersatz 1. Vorbringen der Parteien</w:t>
      </w:r>
    </w:p>
    <w:p>
      <w:r>
        <w:rPr>
          <w:b/>
        </w:rPr>
        <w:t>E. 4</w:t>
      </w:r>
    </w:p>
    <w:p>
      <w:r>
        <w:t>Es wird davon Vormerk genommen, dass der Beschuldigte auf eine persön- liche Umtriebsentschädigung ausdrücklich verzichtet.</w:t>
      </w:r>
    </w:p>
    <w:p>
      <w:r>
        <w:rPr>
          <w:b/>
        </w:rPr>
        <w:t>E. 5</w:t>
      </w:r>
    </w:p>
    <w:p>
      <w:r>
        <w:t>Dem Beschuldigten wird eine Genugtuung von Fr. 2'200.– für die zu Unrecht erlittene Haft aus der Gerichtskasse zugesprochen.</w:t>
      </w:r>
    </w:p>
    <w:p>
      <w:r>
        <w:rPr>
          <w:b/>
        </w:rPr>
        <w:t>E. 6</w:t>
      </w:r>
    </w:p>
    <w:p>
      <w:r>
        <w:t>Die Anschlussberufungsanträge der Staatsanwaltschaft seien abzu- weisen.</w:t>
      </w:r>
    </w:p>
    <w:p>
      <w:r>
        <w:rPr>
          <w:b/>
        </w:rPr>
        <w:t>E. 7</w:t>
      </w:r>
    </w:p>
    <w:p>
      <w:r>
        <w:t>Die Kosten des Berufungsverfahrens und der amtlichen Verteidigung seien auf die Gerichtskasse zu nehmen. b) Der Vertreterin der Staatsanwaltschaft Limmattal / Albis: (Urk. 80 S. 1 f.) 1. Die Kosten des gesamten Verfahrens seien vollumfänglich dem Be- schuldigten aufzuerlegen. 2. Eventualiter: Falls die Kosten auf die Gerichtskasse genommen wer- den, ist dem Beschuldigten weder eine Entschädigung noch eine Ge- nugtuung zuzusprechen.</w:t>
      </w:r>
    </w:p>
    <w:p>
      <w:r>
        <w:t>- 4 - I. Prozessgeschichte 1. Untersuchung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