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SB150356 vom 3. Mai 2016</w:t>
      </w:r>
    </w:p>
    <w:p>
      <w:r>
        <w:t>ZH Obergericht, 2016-05-03, DE</w:t>
      </w:r>
    </w:p>
    <w:p>
      <w:r>
        <w:rPr>
          <w:b/>
        </w:rPr>
        <w:t xml:space="preserve">Quelle: </w:t>
      </w:r>
      <w:r>
        <w:t>https://mcp.opencaselaw.ch/entscheid/zh_obergericht_SB150356</w:t>
      </w:r>
    </w:p>
    <w:p>
      <w:r>
        <w:t>FR: ZH_OBERGERICHT SB150356 du 3 mai 2016</w:t>
      </w:r>
    </w:p>
    <w:p>
      <w:r>
        <w:t>IT: ZH_OBERGERICHT SB150356 del 3 maggio 2016</w:t>
      </w:r>
    </w:p>
    <w:p>
      <w:pPr>
        <w:pStyle w:val="Heading2"/>
      </w:pPr>
      <w:r>
        <w:t>Erwägungen</w:t>
      </w:r>
    </w:p>
    <w:p>
      <w:r>
        <w:rPr>
          <w:b/>
        </w:rPr>
        <w:t>E. 1</w:t>
      </w:r>
    </w:p>
    <w:p>
      <w:r>
        <w:t>Gegen das eingangs wiedergegebene Urteil des Bezirksgerichts Dietikon, Ein- zelgericht in Strafsachen, vom 10. November 2014 liess der Beschuldigte A._____ mit Eingabe vom 21. November 2014 (Urk. 50) innert Frist Berufung an- melden. Das vollständig begründete Urteil (Urk. 55) wurde von seiner Verteidige- rin am 20. August 2015 entgegengenommen (Urk. 54/3). Mit Eingabe vom 9. Sep- tember 2015 reichte die Verteidigerin die Berufungserklärung fristgerecht ein (Urk. 57). Mit Präsidialverfügung vom 11. September 2015 wurde der Staatsan- waltschaft Limmattal / Albis und dem Privatkläger unter Hinweis auf die Beru- fungserklärung des Beschuldigten Frist zur Erhebung einer Anschlussberufung bzw. zum Antrag auf Nichteintreten auf die Berufung angesetzt (Urk. 58). Mit Ein- gabe vom 16. September 2015 erklärte die Staatsanwaltschaft Verzicht auf An- schlussberufung und beantragte die Bestätigung des vorinstanzlichen Urteils (Urk. 61). Der Privatkläger liess sich nicht vernehmen. Am heutigen Tag fand die Berufungsverhandlung statt. Mit Beschluss vom 10. September 2015 überwies sodann die III. Strafkammer des Obergerichts des Kantons Zürich die Beschwerde der Verteidigerin betreffend ihre Entschädigung als amtliche Verteidigerin (Urk. 59).</w:t>
      </w:r>
    </w:p>
    <w:p>
      <w:r>
        <w:rPr>
          <w:b/>
        </w:rPr>
        <w:t>E. 2</w:t>
      </w:r>
    </w:p>
    <w:p>
      <w:r>
        <w:t>Gemäss Art. 402 StPO hat die Berufung im Umfang der Anfechtung aufschie- bende Wirkung. Die Rechtskraft des angefochtenen Urteils wird somit im Umfang</w:t>
      </w:r>
    </w:p>
    <w:p>
      <w:r>
        <w:t>- 6 - der Berufungsanträge gehemmt, während die von der Berufung nicht erfassten Punkte in Rechtskraft erwachsen (vgl. BSK StPO-Eugster, Art. 402 N 1 f.). Der Beschuldigte lässt einen Freispruch bzw. die vollständige Aufhebung des vor- instanzlichen Urteils beantragen (Urk. 57). Damit erwächst nur Dispositivziffer 9 (Entschädigung des unentgeltlichen Vertreters des Privatklägers) in Rechtskraft, was mittels Beschluss festzustellen ist.</w:t>
      </w:r>
    </w:p>
    <w:p>
      <w:r>
        <w:rPr>
          <w:b/>
        </w:rPr>
        <w:t>E. 2.1</w:t>
      </w:r>
    </w:p>
    <w:p>
      <w:r>
        <w:t>Die erste Instanz sprach der amtlichen Verteidigerin für ihre Aufwendungen Fr. 3'800.– aus der Gerichtskasse zu. Gemäss der eingereichten Honorarnote</w:t>
      </w:r>
    </w:p>
    <w:p>
      <w:r>
        <w:t>- 30 - machte die amtliche Verteidigerin für den Zeitraum vom 4. März 2014 bis und mit</w:t>
      </w:r>
    </w:p>
    <w:p>
      <w:r>
        <w:rPr>
          <w:b/>
        </w:rPr>
        <w:t>E. 2.2</w:t>
      </w:r>
    </w:p>
    <w:p>
      <w:r>
        <w:t>Mit der Berufung beantragte die Verteidigerin, es sei Dispositiv-Ziff. 8 des Ur- teils aufzuheben und das Honorar der amtlichen Verteidigerin auf Fr. 8'812.70 (inkl. Barauslagen und MWSt) festzusetzen. In der Beschwerdeschrift (Urk. 63/2) führte die Verteidigung aus, entgegen der Ansicht der Vorinstanz handle es sich bei vorliegendem Verfahren um einen Einzelrichterfall von überdurchschnittlichem Umfang, mit tatsächlichen und rechtlichen Schwierigkeiten. Dies ergebe sich auch aus dem (vorinstanzlichen) Verteidigerplädoyer von 23 Seiten. Das Plädoyer ent- halte keine überflüssigen Abschnitte, vielmehr sei jeder Satz durchdacht bzw. es könne kein Satz weggedacht werden, ohne das eine relevante Lücke zurückblei- ben würde. Der Umfang des Plädoyer, welches mit einem Aufwand von 27 Stun- den erstellt worden sei, sei notwendig und angemessen, den der Sachverhalt sei in mehreren Teilen nicht erstellt bzw. strittig und die rechtlichen Fragen nicht ein- fach (z.B. "skrupellos"). Es sei zusätzlich ein Rechtfertigungsgrund zu beurteilen (Notwehr). Die Vorinstanz hat die theoretischen Grundlagen und die anwendbaren Bestim- mungen der StPO und der AnwGebV zur Berechnung der Entschädigung der amtlichen Verteidigung zutreffend dargelegt. Es kann vorab darauf verwiesen werden (Urk. 55 S. 38 ff.). Es ist zu betonen, dass nur Aufwendungen entschädigt werden, die zur Wahrung der Rechte im Strafverfahren notwendig und verhält- nismässig sind. Unter Berücksichtigung der Bedeutung, des Umfangs und der Schwierigkeit des Falles erscheinen die geltend gemachten Aufwendungen – wie die Vorinstanz zu Recht ausgeführt hat – nicht verhältnismässig. Die Anwaltsgebührenverordnung beruht grundsätzlich auf dem Konzept der Pauschalentschädigung mittels Fest- setzung von Grundgebühren, ergänzt durch die Möglichkeit der Berechnung von Zuschlägen und besonderen Entschädigungen für Bemühungen nach Zeitauf- wand. Daraus ergibt sich, dass nicht primär der geltend gemachte Zeitaufwand gemäss Auflistung des amtlichen Verteidigers zu entschädigen ist. Die von der amtlichen Verteidigerin ins Recht gereichte Auflistungen ihrer Aufwendungen sind</w:t>
      </w:r>
    </w:p>
    <w:p>
      <w:r>
        <w:t>- 31 - somit nicht allein massgeblich. Sie können höchstens als Anhaltspunkt für die Festlegung der Grundgebühr beziehungsweise der Einschätzung des Falles nach Schwierigkeit berücksichtigt werden. Dem Gericht steht ein gewisser Spielraum zu, in welchem nach pflichtgemässem Ermessen zu entscheiden ist. Für die Führung des Strafprozesses bzw. seine Bemühungen nach Anklageerhe- bung (29. April 2014 bis und mit 7. November 2014) machte die amtliche Verteidi- gung einen Aufwand von rund 40 Stunden geltend (Urk. 44). Die Aufwendungen nach Anklageerhebung sind im Rahmen der Pauschalgebühr gemäss § 17 Anw- GebV (Fr. 600.– bis Fr. 8'000.–) zu entschädigen. Darin enthalten sind die Vorbe- reitung des Parteivortrags und die Teilnahme an der Hauptverhandlung. Ange- sichts des Stundenaufwandes und der für einen Einzelrichterfall etwas überdurch- schnittlichen Schwierigkeitsgrad ist die von der Vorinstanz festgelegte Pauschale von Fr. 2'800.– doch deutlich zu niedrig. Vielmehr erscheint eine Pauschale von Fr. 6'500.– angemessen. Mit der Vorinstanz ist sodann eine pauschale Entschä- digung von Fr. 1'000.– im Zusammenhang mit dem obergerichtlichen Beschwer- deverfahren (Geschäfts-Nr. UP140027) auszusprechen. Insgesamt ist die Ent- schädigung somit auf Fr. 7'835.– (inkl. Barauslagen und MWSt) anzusetzen.</w:t>
      </w:r>
    </w:p>
    <w:p>
      <w:r>
        <w:rPr>
          <w:b/>
        </w:rPr>
        <w:t>E. 2.3</w:t>
      </w:r>
    </w:p>
    <w:p>
      <w:r>
        <w:t>Die Kosten der amtlichen Verteidigung für das Berufungsverfahren sind auf Fr. 9'000.– (inkl. 8% MWSt) festzusetzen. Es wird beschlossen:</w:t>
      </w:r>
    </w:p>
    <w:p>
      <w:r>
        <w:rPr>
          <w:b/>
        </w:rPr>
        <w:t>E. 3</w:t>
      </w:r>
    </w:p>
    <w:p>
      <w:r>
        <w:t>Mit der Berufungserklärung stellte die Verteidigerin Beweisanträge (Urk. 57 S. 2 ff.), welche mit Verfügung vom 13. November 2015 (Urk. 69) einstweilen abge- wiesen wurden.</w:t>
      </w:r>
    </w:p>
    <w:p>
      <w:r>
        <w:rPr>
          <w:b/>
        </w:rPr>
        <w:t>E. 4</w:t>
      </w:r>
    </w:p>
    <w:p>
      <w:r>
        <w:t>Die Verteidigung machte ferner sowohl vor Vorinstanz wie auch heute geltend, der Beschuldigte habe in rechtfertigender Notwehr gehandelt (Urk. 42 S. 20 ff.; Urk. 80 S. 9-12). Eventualiter liege entschuldbare Notwehr oder ein Notwehrex- zess vor (Urk. 80 S. 12 f.)</w:t>
      </w:r>
    </w:p>
    <w:p>
      <w:r>
        <w:rPr>
          <w:b/>
        </w:rPr>
        <w:t>E. 4.1</w:t>
      </w:r>
    </w:p>
    <w:p>
      <w:r>
        <w:t>Was die Täterkomponente angeht, so kann vorab auf die vorinstanzlichen Erwägungen zu den persönlichen Verhältnissen verwiesen werden (Urk. 55 S. 31 f.). Anlässlich der heutigen Berufungsverhandlung ergänzte er, er sei nun zweifa- cher Vater, arbeite als Lüftungsmonteur im Stundenlohn und verdiene, wenn er 100% arbeite, was die letzten Monate nicht der Fall gewesen sei, ca. Fr. 4'000.– pro Monat. Er lebe nicht mehr bei den Eltern, sondern mit seiner Partnerin und</w:t>
      </w:r>
    </w:p>
    <w:p>
      <w:r>
        <w:t>- 27 - den Kindern, aber im gleichen Haus. Für seine Kinder zahle er Fr. 100.– pro Mo- nat Unterhalt. Seine Partnerin sei zurzeit in der Mutter-Kind Station in I._____ we- gen Depressionen. Den Kredit für sein Auto habe er abbezahlt und er habe weder Schulden noch Vermögen. Aufgrund einer Anzeige seiner Partnerin wegen Kör- perverletzung sei ein Verfahren gegen ihn hängig, aber sie werde die Anzeige wahrscheinlich zurückziehen (Prot. II S. 7-11).</w:t>
      </w:r>
    </w:p>
    <w:p>
      <w:r>
        <w:rPr>
          <w:b/>
        </w:rPr>
        <w:t>E. 4.2</w:t>
      </w:r>
    </w:p>
    <w:p>
      <w:r>
        <w:t>Der Beschuldigte weist drei nicht einschlägige Vorstrafen aus den Jahren 2008 und 2009 auf (Urk. 16/3 bzw. Urk. 56), welche die Vorinstanz ausführlich wi- dergegeben hat (Urk. 55 S. 32). Diese Vorstrafen wirken sich leicht straferhöhend aus.</w:t>
      </w:r>
    </w:p>
    <w:p>
      <w:r>
        <w:rPr>
          <w:b/>
        </w:rPr>
        <w:t>E. 4.3</w:t>
      </w:r>
    </w:p>
    <w:p>
      <w:r>
        <w:t>Was das Nachtatverhalten angeht, so ist zunächst das praktisch vollumfäng- liche Geständnis in tatsächlicher Hinsicht deutlich strafmindernd zu veranschla- gen. Er hat sich in der Untersuchung auch sehr kooperativ verhalten. Sodann hat er nach der Tat selbst die Polizei avisiert. Dass er - wie die Vorinstanz zu Recht erwähnt - zu einer gewissen Verharmlosung seiner Tat neigt und er in der Unter- suchung insbesondere erklärte, er würde heute gleich handeln, lässt auch eine gewisse Uneinsichtigkeit aufscheinen. Diese Umstände relativieren deshalb leicht den Minderungseffekt des Geständnisses.</w:t>
      </w:r>
    </w:p>
    <w:p>
      <w:r>
        <w:rPr>
          <w:b/>
        </w:rPr>
        <w:t>E. 4.4</w:t>
      </w:r>
    </w:p>
    <w:p>
      <w:r>
        <w:t>Insgesamt halten sich die straferhöhenden und strafmindernden Faktoren die Waage. Entsprechend erscheint deshalb aufgrund sämtlicher massgebender Strafzumessungsgründe und den persönlichen Verhältnissen eine Strafe von 240 Tagen bzw. 8 Monaten als angemessen.</w:t>
      </w:r>
    </w:p>
    <w:p>
      <w:r>
        <w:rPr>
          <w:b/>
        </w:rPr>
        <w:t>E. 4.5</w:t>
      </w:r>
    </w:p>
    <w:p>
      <w:r>
        <w:t>Demzufolge ist der Beschuldigte der versuchten schweren Körperverletzung im Sinne von Art. 122 StGB in Verbindung mit Art. 22 Abs. 1 StGB schuldig zu sprechen.</w:t>
      </w:r>
    </w:p>
    <w:p>
      <w:r>
        <w:t>- 25 - IV. Strafe und Vollzug 1. Die Vorinstanz hat den Strafrahmen und auch die Grundsätze der Strafzumes- sung im engeren Sinn zutreffend dargestellt. Darauf ist ohne Weiteres zu verwei- sen (Urk. 55 S. 28 f.). Trotz Vorliegens eines Strafmilderungsgrundes hat die Vor- instanz zu Recht der Bemessung der Strafe den ordentlichen Strafrahmen von 180 Tagessätzen Geldstrafe bis zu 10 Jahren Freiheitsstrafe zugrunde gelegt (Urk. 55 S. 28). 2. Was nun das Verschulden angeht, so sind bei der Tatkomponente das Aus- mass des verschuldeten Erfolges, die Art und Weise der Herbeiführung dieses Er- folges, die Willensrichtung, mit welcher der Täter gehandelt hat, und die Beweg- gründe des Beschuldigten zu beachten. Sodann sind für das Verschulden auch das Mass an Entscheidungsfreiheit beim Täter sowie die Intensität des delikti- schen Willens bedeutsam. Je leichter es für ihn gewesen wäre, die Norm zu res- pektieren, desto schwerer wiegt die Entscheidung gegen sie (BGE 127 IV 101 S. 103 E. 2a; TRECHSEL/PIETH, Praxiskommentar StGB, 2. Aufl., Art. 47 N 21).</w:t>
      </w:r>
    </w:p>
    <w:p>
      <w:r>
        <w:rPr>
          <w:b/>
        </w:rPr>
        <w:t>E. 5</w:t>
      </w:r>
    </w:p>
    <w:p>
      <w:r>
        <w:t>Die Ausfällung einer Geldstrafe ist zu bestätigen (Urk. 55 S. 32 f.), wobei die Tagessatzhöhe aufgrund der neuen finanziellen und familiären Verhältnisse des Beschuldigten auf Fr. 30.– festzusetzen ist. Hingegen ist von der Ausfällung einer Verbindungsbusse abzusehen. Abgesehen davon hätte eine solche zu einer ent- sprechenden Reduktion der Geldstrafe führen müssen.</w:t>
      </w:r>
    </w:p>
    <w:p>
      <w:r>
        <w:t>- 28 -</w:t>
      </w:r>
    </w:p>
    <w:p>
      <w:r>
        <w:rPr>
          <w:b/>
        </w:rPr>
        <w:t>E. 6</w:t>
      </w:r>
    </w:p>
    <w:p>
      <w:r>
        <w:t>Der Vollzug der Geldstrafe ist aufzuschieben und die Probezeit, wie die Vor- instanz zu Recht aufgeführt hat, auf drei Jahre festzusetzen, um verbleibenden Bedenken Rechnung zu tragen (Urk. 55 S. 34 f.). V. Zivilansprüche 1. Die Vorinstanz hat den Privatkläger B._____ zur Durchsetzung seines Scha- denersatzbegehrens auf den Weg des Zivilprozesses verwiesen (Urk. 55 S. 35 f.). Dieser Entscheid ist zu bestätigen. 2. Die Vorinstanz hat dem Privatkläger B._____ eine Genugtuung von Fr. 800.– zugesprochen (Urk. 55 S. 36 f.). Bei Tötung eines Menschen oder Körperverletzung kann das Gericht unter Wür- digung der besonderen Umstände dem Verletzten oder den Angehörigen des Ge- töteten eine angemessene Geldsumme als Genugtuung zusprechen (Art. 47 OR). Die Körperverletzung muss beim Verletzten zu einer immateriellen Unbill (zu ei- nem Schmerz) geführt haben. Darüber hinaus muss der erlittene körperliche bzw. seelische Schmerz von einer gewissen Schwere sein (BGE 110 II 166 = Pra 1984, 486). Zu den besonderen Umständen eines Falles kann sodann das Ver- schulden des Haftpflichtigen eine bedeutende Rolle spielen (BGE 104 II 264 = Pra 1979, 192). Zu den Umständen, die das Gericht zu berücksichtigen hat, ge- hört auch ein Mitverschulden des Verletzten. Ausgeschlossen wird ein Genugtu- ungsanspruch aber höchstens bei Vorliegen eines überwiegenden, groben Selbstverschuldens. In seiner Rechtsprechung hat das Bundesgericht generell Zurückhaltung signalisiert, was die Mitberücksichtigung des Selbstverschuldens betrifft (BGE 117 II 50 ff., 60 ff.). Auch das konkrete Verhältnis zwischen Verletz- tem und Schädiger ist zu berücksichtigen. Bei der Bezifferung der Genugtuung kommt dem Gericht erheblicher Ermessensspielraum zu. Es kommt vor allem auf die Art und Schwere der Verletzung, die Intensität und die Dauer der Auswirkun- gen auf die Persönlichkeit des Betroffenen sowie auf den Grad des Verschuldens an (vgl. BSK OR I-Heierli/Schnyder, 5. Auflage 2011, Art. 47 N 20 f.).</w:t>
      </w:r>
    </w:p>
    <w:p>
      <w:r>
        <w:t>- 29 - Vorliegend fällt zunächst ins Gewicht, dass ein gewisses Selbstverschulden des Privatklägers zu berücksichtigen ist. Er stellte sich dem Fahrzeug des Beschuldig- ten mit einem Messer in der Hand provokativ in den Weg, um ihn am Weiterfah- ren zu hindern, nachdem dieser zuvor vor seinem gewalttätigen Angriff geflüchtet war. Demgegenüber erwies sich die Reaktion des Beschuldigten als massiv über- rissen. Es war es nur dem Zufall und der aussergewöhnlichen Konstitution und den Reflexen des Privatklägers zuzuschreiben, dass er nicht weitaus schwerer verletzt wurde. Unter diesen Umständen und angesichts der erlittenen, durchaus schmerzhaften und zahlreichen Verletzungen, erweist sich die von der Vorinstanz zugesprochene Genugtuung von Fr. 800.– als angemessen und ist zu bestätigen. VI. Kosten- und Entschädigungsfolgen 1. Der Beschuldigte unterliegt mit seiner Berufung vollumfänglich. Die leichte Strafreduktion ist einzig auf das Ermessen des Gerichts zurückzuführen. Bei die- sem Verfahrensausgang ist die erstinstanzliche Kostenaufstellung (Dispositiv-Ziff. 7, ohne Kosten der amtlichen Verteidigung von Fr. 3'800.–) zu bestätigen. Dem Beschuldigten sind sodann die erstinstanzlichen Kosten, mit Ausnahme der Kos- ten für die amtliche Verteidigung und unentgeltliche Rechtsvertretung sowie die Kosten des obergerichtlichen Beschwerdeverfahrens (Geschäfts-Nr.UP140127) von Fr. 1'000.–, aufzuerlegen. Ferner sind ihm die Verfahrenskosten der zweiten Instanz, mit Ausnahme derjenigen der amtlichen Verteidigung, ebenfalls aufzuer- legen. Die Kosten für die unentgeltliche Rechtsvertretung des Privatklägers sowie die Kosten des obergerichtlichen Beschwerdeverfahrens (Geschäfts-Nr. UP140127) von Fr. 1'000.– werden definitiv auf die Gerichtskasse genommen. Die Kosten der amtlichen Verteidigung beider Instanzen, mit Ausnahme derjeni- gen für die Entschädigung von Fr. 1'000.– für das obergerichtliche Beschwerde- verfahren (Geschäfts-Nr. UP140127), welche definitiv abzuschreiben sind, sind unter Vorbehalt der Rückzahlungspflicht auf die Gerichtskasse zu nehmen.</w:t>
      </w:r>
    </w:p>
    <w:p>
      <w:r>
        <w:rPr>
          <w:b/>
        </w:rPr>
        <w:t>E. 7</w:t>
      </w:r>
    </w:p>
    <w:p>
      <w:r>
        <w:t>November 2014 Fr. 9'029.10 geltend (Urk.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