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SB150307 vom 26. Februar 2016</w:t>
      </w:r>
    </w:p>
    <w:p>
      <w:r>
        <w:t>ZH Obergericht, 2016-02-26, DE</w:t>
      </w:r>
    </w:p>
    <w:p>
      <w:r>
        <w:rPr>
          <w:b/>
        </w:rPr>
        <w:t xml:space="preserve">Quelle: </w:t>
      </w:r>
      <w:r>
        <w:t>https://mcp.opencaselaw.ch/entscheid/zh_obergericht_SB150307</w:t>
      </w:r>
    </w:p>
    <w:p>
      <w:r>
        <w:t>FR: ZH_OBERGERICHT SB150307 du 26 février 2016</w:t>
      </w:r>
    </w:p>
    <w:p>
      <w:r>
        <w:t>IT: ZH_OBERGERICHT SB150307 del 26 febbraio 2016</w:t>
      </w:r>
    </w:p>
    <w:p>
      <w:pPr>
        <w:pStyle w:val="Heading2"/>
      </w:pPr>
      <w:r>
        <w:t>Erwägungen</w:t>
      </w:r>
    </w:p>
    <w:p>
      <w:r>
        <w:rPr>
          <w:b/>
        </w:rPr>
        <w:t>E. 1</w:t>
      </w:r>
    </w:p>
    <w:p>
      <w:r>
        <w:t>Das Bezirksgericht Bülach, I. Abteilung, sprach den Beschuldigten mit Urteil vom 7. Mai 2014 der qualifizierten Widerhandlung gegen das Betäubungsmittel- gesetz im Sinne von Art. 19 Abs. 1 lit. b BetmG in Verbindung mit Art. 19 Abs. 2 lit. a BetmG schuldig und bestrafte ihn mit einer Freiheitsstrafe von 36 Monaten, unter Anrechnung von 524 Tagen erstandener Haft (Urk. 83). Mit Urteil vom</w:t>
      </w:r>
    </w:p>
    <w:p>
      <w:r>
        <w:rPr>
          <w:b/>
        </w:rPr>
        <w:t>E. 2</w:t>
      </w:r>
    </w:p>
    <w:p>
      <w:r>
        <w:t>Gegen das Urteil vom 7. Mai 2014 liess der Beschuldigte am 9. Mai 2014 Beru- fung anmelden (Urk. 70). Am 7. Juli 2014 reichte der amtliche Verteidiger eine Be- rufungserklärung gegen die Urteilsergänzung vom 2. Juni 2014 ein (Urk. 84). Nach Erhalt des begründeten Urteils vom 7. Mai 2014 folgte mit Eingabe vom 10. Juli 2014 die Berufungserklärung, womit die Berufung auf die Strafzumessung und den Strafvollzug beschränkt wurde (Urk. 86). Die Staatsanwaltschaft verzich- tete auf Anschlussberufung. Beweisanträge wurden von keiner Seite gestellt.</w:t>
      </w:r>
    </w:p>
    <w:p>
      <w:r>
        <w:rPr>
          <w:b/>
        </w:rPr>
        <w:t>E. 3</w:t>
      </w:r>
    </w:p>
    <w:p>
      <w:r>
        <w:t>Mit Urteil der erkennenden Kammer vom 23. September 2014 wurde der Be- schuldigte mit 24 Monaten Freiheitsstrafe, unter Anrechnung von 663 Tagen er- standener Haft sowie vorzeitigen Strafvollzugs, bestraft. Der Vollzug der Frei- heitsstrafe wurde nicht aufgeschoben (Urk. 118).</w:t>
      </w:r>
    </w:p>
    <w:p>
      <w:r>
        <w:t>- 6 -</w:t>
      </w:r>
    </w:p>
    <w:p>
      <w:r>
        <w:rPr>
          <w:b/>
        </w:rPr>
        <w:t>E. 4</w:t>
      </w:r>
    </w:p>
    <w:p>
      <w:r>
        <w:t>Gegen dieses Urteil erhob die Verteidigung Beschwerde in Strafsachen an das Schweizerische Bundesgericht mit dem Antrag, das Urteil sei bezüglich der Straf- zumessung, des Strafvollzuges und der Genugtuung aufzuheben (Urk. 123/2 S. 2). Mit Urteil der strafrechtlichen Abteilung des Bundesgerichts vom 20. Juli 2015 wurde die Beschwerde teilweise gutgeheissen, das genannte Urteil aufge- hoben und die Sache zur neuen Entscheidung an die Vorinstanz zurückgewiesen (Urk. 128). Mit Beschluss vom 28. August 2015 wurde das schriftliche Verfahren angeordnet (Urk. 134). Die Parteien liessen sich nicht vernehmen (Urk. 136 und Urk. 137/1), während die Vorinstanz auf eine Vernehmlassung ausdrücklich verzichtete (Urk. 138), so dass androhungsgemäss aufgrund der Akten zu entscheiden ist.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