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SB150295 vom 6. April 2016</w:t>
      </w:r>
    </w:p>
    <w:p>
      <w:r>
        <w:t>ZH Obergericht, 2016-04-06, DE</w:t>
      </w:r>
    </w:p>
    <w:p>
      <w:r>
        <w:rPr>
          <w:b/>
        </w:rPr>
        <w:t xml:space="preserve">Quelle: </w:t>
      </w:r>
      <w:r>
        <w:t>https://mcp.opencaselaw.ch/entscheid/zh_obergericht_SB150295</w:t>
      </w:r>
    </w:p>
    <w:p>
      <w:r>
        <w:t>FR: ZH_OBERGERICHT SB150295 du 6 avril 2016</w:t>
      </w:r>
    </w:p>
    <w:p>
      <w:r>
        <w:t>IT: ZH_OBERGERICHT SB150295 del 6 aprile 2016</w:t>
      </w:r>
    </w:p>
    <w:p>
      <w:pPr>
        <w:pStyle w:val="Heading2"/>
      </w:pPr>
      <w:r>
        <w:t>Erwägungen</w:t>
      </w:r>
    </w:p>
    <w:p>
      <w:r>
        <w:rPr>
          <w:b/>
        </w:rPr>
        <w:t>E. 1</w:t>
      </w:r>
    </w:p>
    <w:p>
      <w:r>
        <w:t>Das Bezirksgericht Dietikon, Einzelgericht, sprach den Beschuldigten A._____ mit Urteil vom 18. November 2013 der einfachen Körperverletzung im Sinne von Art. 123 Ziff. 1 Abs. 1 StGB und des Hausfriedensbruchs im Sinne von Art. 186 StGB schuldig. Vom Vorwurf der Sachbeschädigung wurde er freigesprochen. Er wurde bestraft mit einer auf zwei Jahre bedingt aufgeschobenen Geldstrafe von 120 Tagessätzen zu je Fr. 50.–, wovon 25 Tagessätze als durch Haft geleistet gelten, sowie mit einer Busse von Fr. 500.–. Mit gleichem Urteil wurde der Bruder des Beschuldigten, C._____, ebenfalls der einfachen Körperverletzung im Sinne von Art. 123 Ziff. 1 Abs. 1 StGB und des Hausfriedensbruchs im Sinne von Art. 186 StGB schuldig gesprochen, vom Vorwurf der Drohung und der Sachbe- schädigung freigesprochen und mit einer auf zwei Jahre bedingt aufgeschobenen Geldstrafe von 150 Tagessätzen zu je Fr. 50.–, wovon 25 Tagessätze als durch Haft geleistet gelten, sowie mit einer Busse von Fr. 500.– bestraft (Urk. 84 S. 69 f.). Ferner wurde die Herausgabe diverser beschlagnahmter Gegenstände ange- ordnet und der Beschuldigte und sein Bruder wurden verpflichtet, dem Privatklä- ger B._____ unter solidarischer Haftung eine Genugtuung von Fr. 400.– zuzüglich</w:t>
      </w:r>
    </w:p>
    <w:p>
      <w:r>
        <w:rPr>
          <w:b/>
        </w:rPr>
        <w:t>E. 5</w:t>
      </w:r>
    </w:p>
    <w:p>
      <w:r>
        <w:t>Mit Präsidialverfügung vom 13. August 2015 wurde das schriftliche Verfahren angeordnet und dem Berufungskläger Frist zur Begründung seiner Berufung an- gesetzt (Urk. 131). Die Berufungsbegründung ging am 25. August 2015 bei der erkennenden Kammer ein (Urk. 133). Am 28. August 2015 wurde dem Privatklä- ger und der Staatsanwaltschaft Frist zur Berufungsantwort angesetzt (Urk. 135). Die Staatsanwaltschaft und die Vorinstanz verzichteten mit Eingaben vom 31. August 2015 (Urk. 137) und vom 1. September 2015 (Urk. 138) auf eine Ver- nehmlassung. Mit Eingabe vom 11. September erstattete der Privatkläger die Be- rufungsantwort (Urk. 139). Der Berufungskläger verzichtete mit Eingabe vom 13. Oktober 2015 auf eine weitere Stellungnahme (Urk. 143). Der Prozess erweist sich als spruchreif.</w:t>
      </w:r>
    </w:p>
    <w:p>
      <w:r>
        <w:t>- 10 -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