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SB150216 vom 19. Juli 2016</w:t>
      </w:r>
    </w:p>
    <w:p>
      <w:r>
        <w:t>ZH Obergericht, 2016-07-19, DE</w:t>
      </w:r>
    </w:p>
    <w:p>
      <w:r>
        <w:rPr>
          <w:b/>
        </w:rPr>
        <w:t xml:space="preserve">Quelle: </w:t>
      </w:r>
      <w:r>
        <w:t>https://mcp.opencaselaw.ch/entscheid/zh_obergericht_SB150216</w:t>
      </w:r>
    </w:p>
    <w:p>
      <w:r>
        <w:t>FR: ZH_OBERGERICHT SB150216 du 19 juillet 2016</w:t>
      </w:r>
    </w:p>
    <w:p>
      <w:r>
        <w:t>IT: ZH_OBERGERICHT SB150216 del 19 luglio 2016</w:t>
      </w:r>
    </w:p>
    <w:p>
      <w:pPr>
        <w:pStyle w:val="Heading2"/>
      </w:pPr>
      <w:r>
        <w:t>Erwägungen</w:t>
      </w:r>
    </w:p>
    <w:p>
      <w:r>
        <w:rPr>
          <w:b/>
        </w:rPr>
        <w:t>E. 43</w:t>
      </w:r>
    </w:p>
    <w:p>
      <w:r>
        <w:t>E. 4.1 S. 47; Urteile des Bundesgerichts 6B_802/2015 vom 9. Dezember 2015 E. 10.2; 6B_192/2015 vom 9. September 2015 E. 1.2; 6B_437/2014 vom 29. Dezember 2014 E. 3). Die Beweislast für den eingetretenen Schaden liegt bei ihm (Urteile des Bundesgerichts 6B_566/2015 vom 18. November 2015 E. 2.4.3; 6B_251/2015 vom 24. August 2015 E. 2.2.2; 6B_666/2014 vom 16. Dezember 2014 E. 4.1; 6B_1026/2013 vom 10. Juni 2014 E. 3.1; Urteil des Bundesgerichts 6B_129/2016 vom 2. Mai 2016 E. 4.2.). Die Strafbehörde hat nicht im Sinne des Untersuchungsgrundsatzes von Art. 6 StPO alle für die Beurteilung des Entschädigungsanspruchs bedeutsamen Tatsa- chen von Amtes wegen abzuklären. Vielmehr obliegt es dem Antragsteller, seine</w:t>
      </w:r>
    </w:p>
    <w:p>
      <w:r>
        <w:t>- 8 - Ansprüche zu begründen und auch zu belegen (vgl. auch Art. 126 Abs. 2 lit. b StPO, wonach die Zivilklage der Privatklägerschaft auf den Zivilweg verwiesen wird, wenn sie nicht hinreichend beziffert oder begründet ist). Dies entspricht denn auch der zivilrechtlichen Regelung, wonach wer Schadenersatz beansprucht, den Schaden zu beweisen hat (Art. 42 Abs. 1 OR). Wenn sich der Schaden nicht zif- fernmässig nachweisen lässt, ist er nach Ermessen des Richters mit Rücksicht auf den gewöhnlichen Lauf der Dinge und auf die vom Geschädigten getroffenen Massnahmen abzuschätzen (Art. 42 Abs. 2 OR; Entscheid des Bundesgerichts 6B_666/2014 vom 16. Dezember 2014 E. 4.1). 2.5. Der den vormaligen Verteidiger betreffende, geltend gemachte Betrag von Fr. 86'500.– ist ausgewiesen (Urk. 349/1). Dieser Betrag ist indes – entgegen der Verteidigung – nicht zu verzinsen. Der Beschuldigte legt nicht dar, wann und al- lenfalls in welchen Teilbeträgen er diese Summe geleistet hat. Zwar lässt er an- führen, der Zinsenlauf beginne mit Urteil des Obergerichts vom 26. Februar 2002 (Urk. 347 S. 3). Der Schaden trat beim Beschuldigten jedoch nicht mit Fällung des Urteils ein, sondern mit der Bezahlung des entsprechenden Betrages (durch den Beschuldigten). Ob und zu welchem Zeitpunkt dies geschah, ist nicht bekannt und hat der Beschuldigte nicht belegt. Von einer Verzinsung ist daher abzusehen. Im Übrigen werden Prozessentschädigungen praxisgemäss nicht verzinst. 2.6. Die den aktuellen erbetenen Verteidiger betreffenden Beträge von Fr. 39'127.20 sowie Fr. 9'735.40 sind ebenfalls ausgewiesen (Urk. 347 S. 3 mit Verweis auf Urk. 224 und Urk. 349/2). Eine Verzinsung der Fr. 39'127.20 ist eben- falls nicht angezeigt. Es wird seitens des Beschuldigten nicht dargetan, wann und welche Zahlungen er seinem Verteidiger geleistet hat bzw. es wird nicht belegt, dass (und zu welchem Zeitpunkt) der Verteidiger Honorarzahlungen des Beschul- digten erhalten hat. Entsprechend ist dem Beschuldigten eine Prozessentschädigung von insgesamt Fr. 135'362.60 auszurichten. 3.1. Der Beschuldigte verlangt eine Genugtuung von Fr. 40'000.– für 204 Tage zu Unrecht erstandene Polizei- und Untersuchungshaft (Urk. 347 S. 4). Der Be-</w:t>
      </w:r>
    </w:p>
    <w:p>
      <w:r>
        <w:t>- 9 - schuldigte befand sich vom 5. Januar 1995 bis zum 27. Juli 1995 in Haft (Unter- suchungsakten Ordner 5, Urk. RS.3.3.2. und 3.3.21.). 3.2. Wird die beschuldigte Person ganz oder teilweise freigesprochen oder wird das Verfahren gegen sie eingestellt, so hat sie gemäss Art. 429 Abs. 1 lit. c StPO Anspruch auf Genugtuung für besonders schwere Verletzungen ihrer persönli- chen Verhältnisse, insbesondere bei Freiheitsentzug. Materiellrechtlich beurteilt sich der Anspruch nach Art. 28a Abs. 3 ZGB und Art. 49 OR (Urteil des Bundes- gerichts 6B_192/2015 vom 9. September 2015 E. 1.2 mit Hinweisen; BBl 2006 1329 Ziff. 2.10.3.1). Erforderlich ist, dass die erlittene Persönlichkeitsverletzung mit dem Strafverfahren in einem Kausalzusammenhang im Sinne des Haftpflicht- rechts steht (Urteile des Bundesgerichts 6B_192/2015 vom 9. September 2015 E. 1.2; 6B_1127/2014 vom 2. April 2015 E. 2.2; BBl 2006 1329 Ziff. 2.10.3.1; Urteil des Bundesgerichts 6B_129/2016 vom 2. Mai 2016 E. 4.2.). Die Festlegung der Genugtuungssumme beruht auf richterlichem Ermessen. Das Bundesrecht setzt keinen bestimmten Mindestbetrag fest (Art. 429 Abs. 1 lit. c StPO). Bei der Ausübung des Ermessens kommt den Besonderheiten des Einzel- falles entscheidendes Gewicht zu (Urteil des Bundesgerichts 6B_506/2015 vom 6. August 2015 E. 1.3.1.; Urteil des Bundesgerichts 6B_111/2012/6B_122/2012 vom 15. Mai 2012 E. 4.2.). 3.3. Vorab ist auf die Verfügung vom 7. Oktober 2015 zu verweisen, mittels wel- cher der Beschuldigte ausdrücklich aufgefordert wurde, sich – auch – zur Ent- schädigungsfrage zu äussern (Urk. 341). Zur Begründung des Quantitativs seines Genugtuungsanspruchs verweist der Beschuldigte dann aber einzig und pauschal auf den Entscheid des Bundesgerichts 6B_437/2014 vom 29. Dezember 2014. Besondere Umstände seiner Haft werden in keiner Weise substantiiert (Urk. 347 S. 4). Im durch die Verteidigung zitierten Entscheid hat das Bundesgericht aus- drücklich erwogen, der (vorliegend durch die Verteidigung geltend gemachte) An- satz von Fr. 200.– pro Tag ungerechtfertigt erstandener Haft gelte für eine kurze Haftdauer (E. 3).</w:t>
      </w:r>
    </w:p>
    <w:p>
      <w:r>
        <w:t>- 10 - Im Urteil 6B_111/2012/6B_122/2012 vom 15. Mai 2012 E. 4.2. wurde erwogen: Das Bundesgericht erachtet bei kürzeren Freiheitsentzügen Fr. 200.– pro Tag als angemessene Genugtuung, sofern nicht aussergewöhnliche Umstände vorliegen, die eine höhere oder eine geringere Entschädigung zu rechtfertigen vermögen. Bei längerer Untersuchungshaft (von mehreren Monaten Dauer) ist der Tagessatz in der Regel zu senken, da die erste Haftzeit besonders erschwerend ins Gewicht fällt (vgl. BGE 113 Ib 155 E. 3b S. 156 mit Hinweisen). Diese Rechtsprechung bleibt auch für Anwendungsfälle der eidgenössischen Strafprozessordnung aktuell. Eine Haftdauer von 204 Tagen ist mit der zitierten Praxis keinesfalls mehr als kurz zu taxieren. Insbesondere da ohnehin keinerlei Besonderheiten der erlittenen Un- bill substantiiert werden, ist von einem – im Übrigen praxisgemässen – Tages- ansatz von Fr. 100.– auszugehen und dem Beschuldigten für ungerechtfertigt er- littene Haft eine Genugtuung von Fr. 20'000.– auszurichten. 3.4. Die Genugtuung ist praxisgemäss zu verzinsen. Der mittlere Verfalltag war der 16. April 1995. 4. Schliesslich beantragt der Beschuldigte die Freigabe der durch ihn geleiste- ten Fluchtkaution von Fr. 25'000.– (Urk. 347 S. 4). Dem ist ohne Weiteres statt- zugeben. 5. Die Gerichtsgebühr des vorliegenden Verfahrens hat ausgangsgemäss aus- ser Ansatz zu fallen. 6. Der Beschuldigte obsiegt im vorliegenden Verfahren mit seinen Anträgen, weshalb auch die Kosten des Berufungsverfahrens auf die Gerichtskasse zu nehmen sind (Art. 428 StPO).</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