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SB150179 vom 26. Mai 2015</w:t>
      </w:r>
    </w:p>
    <w:p>
      <w:r>
        <w:t>ZH Obergericht, 2015-05-26, DE</w:t>
      </w:r>
    </w:p>
    <w:p>
      <w:r>
        <w:rPr>
          <w:b/>
        </w:rPr>
        <w:t xml:space="preserve">Quelle: </w:t>
      </w:r>
      <w:r>
        <w:t>https://mcp.opencaselaw.ch/entscheid/zh_obergericht_SB150179</w:t>
      </w:r>
    </w:p>
    <w:p>
      <w:r>
        <w:t>FR: ZH_OBERGERICHT SB150179 du 26 mai 2015</w:t>
      </w:r>
    </w:p>
    <w:p>
      <w:r>
        <w:t>IT: ZH_OBERGERICHT SB150179 del 26 maggio 2015</w:t>
      </w:r>
    </w:p>
    <w:p>
      <w:pPr>
        <w:pStyle w:val="Heading2"/>
      </w:pPr>
      <w:r>
        <w:t>Erwägungen</w:t>
      </w:r>
    </w:p>
    <w:p>
      <w:r>
        <w:rPr>
          <w:b/>
        </w:rPr>
        <w:t>E. 1</w:t>
      </w:r>
    </w:p>
    <w:p>
      <w:r>
        <w:t>Mit Eingabe vom 18. März 2015 liess der Beschuldigte gegen das Urteil des Bezirksgerichtes Pfäffikon, Einzelgericht in Strafsachen, vom 16. März 2015 bezüglich Kostenfolgen fristgerecht Berufung anmelden (Urk. 85). Das begründete Urteil wurde der Verteidigung des Beschuldigten am 17. April 2015 zugestellt (Urk. 91/1). 2.1. Gemäss Art. 399 Abs. 1 StPO ist dem erstinstanzlichen Gericht innert 10 Tagen seit Eröffnung des Urteils schriftlich oder mündlich zu Protokoll die Berufung anzumelden. Jene Partei, welche Berufung angemeldet hat, hat dem Berufungsgericht innert 20 Tagen seit der Zustellung des begründeten Urteils eine schriftliche Berufungserklärung einzureichen (Art. 399 Abs. 3 StPO). Es handelt sich somit um ein zweistufiges Verfahren (BGE 138 IV 157 E. 2.1.f.; Urteil des Bundesgerichtes 6B_458/2013 vom 4. November 2013, E. 1.3.2). Erfolgt – innert Frist – keine derartige Berufungsanmeldung oder -erklärung, tritt das Berufungsgericht auf die Berufung nicht ein (Art. 403 Abs. 1 und 3 StPO). Bei Nichteinreichung einer Berufungserklärung kann darauf verzichtet werden, den Parteien vor Erlass des Nichteintretensentscheids Gelegenheit zur Stellungnahme im Sinne von Art. 403 Abs. 2 StPO einzuräumen (ZR 110/2011 Nr. 69). 2.2. Der Beschuldigte liess innerhalb der in Art. 399 Abs. 3 StPO festgelegten gesetzlichen Frist von 20 Tagen ab Zustellung des begründeten Urteils – mithin bis zum 7. Mai 2015 – keine schriftliche Berufungserklärung einreichen, obwohl der begründete Entscheid diesbezüglich eine ausführliche Rechtsmittelbelehrung enthält (Urk. 92 S. 34; Dispositiv-Ziffer 12). Der Verteidiger des Beschuldigten meldete vorliegend zwar rechtzeitig Berufung an, in der Folge reichte er aber innerhalb der Frist keine Berufungserklärung ein. Auf die Berufung des Beschuldigten ist somit nicht einzutreten.</w:t>
      </w:r>
    </w:p>
    <w:p>
      <w:r>
        <w:rPr>
          <w:b/>
        </w:rPr>
        <w:t>E. 3</w:t>
      </w:r>
    </w:p>
    <w:p>
      <w:r>
        <w:t>Die Kosten des Rechtsmittelverfahrens werden von den Parteien nach Massgabe ihres Obsiegens oder Unterliegens getragen. Als unterliegend gilt auch die Partei, auf deren Rechtsmittel nicht eingetreten wird oder die das Rechtsmittel</w:t>
      </w:r>
    </w:p>
    <w:p>
      <w:r>
        <w:t>- 3 - zurückzieht (Art. 428 Abs. 1 StPO). Ausgangsgemäss sind die Kosten des Berufungsverfahrens deshalb dem Beschuldigten aufzuerlegen. Die Gerichtsgebühr ist auf Fr. 600.-- zu veranschlagen. Erhebliche Umtriebe der amtlichen Verteidigung und des Privatklägers im Berufungsverfahren sind nicht ersichtlich, weshalb diesbezüglich keine Entschädigungen auszurichten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