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SB150162 vom 29. Oktober 2015</w:t>
      </w:r>
    </w:p>
    <w:p>
      <w:r>
        <w:t>ZH Obergericht, 2015-10-29, DE</w:t>
      </w:r>
    </w:p>
    <w:p>
      <w:r>
        <w:rPr>
          <w:b/>
        </w:rPr>
        <w:t xml:space="preserve">Quelle: </w:t>
      </w:r>
      <w:r>
        <w:t>https://mcp.opencaselaw.ch/entscheid/zh_obergericht_SB150162</w:t>
      </w:r>
    </w:p>
    <w:p>
      <w:r>
        <w:t>FR: ZH_OBERGERICHT SB150162 du 29 octobre 2015</w:t>
      </w:r>
    </w:p>
    <w:p>
      <w:r>
        <w:t>IT: ZH_OBERGERICHT SB150162 del 29 ottobre 2015</w:t>
      </w:r>
    </w:p>
    <w:p>
      <w:pPr>
        <w:pStyle w:val="Heading2"/>
      </w:pPr>
      <w:r>
        <w:t>Erwägungen</w:t>
      </w:r>
    </w:p>
    <w:p>
      <w:r>
        <w:rPr>
          <w:b/>
        </w:rPr>
        <w:t>E. 1</w:t>
      </w:r>
    </w:p>
    <w:p>
      <w:r>
        <w:t>Gang des Strafverfahrens</w:t>
      </w:r>
    </w:p>
    <w:p>
      <w:r>
        <w:rPr>
          <w:b/>
        </w:rPr>
        <w:t>E. 1.1</w:t>
      </w:r>
    </w:p>
    <w:p>
      <w:r>
        <w:t>Ausgangsgemäss ist die vorinstanzliche Kostenregelung (Urk. 60 Disp.-Ziff.</w:t>
      </w:r>
    </w:p>
    <w:p>
      <w:r>
        <w:rPr>
          <w:b/>
        </w:rPr>
        <w:t>E. 1.2</w:t>
      </w:r>
    </w:p>
    <w:p>
      <w:r>
        <w:t>Die Vorinstanz berechnete die Entschädigung für anwaltliche Vertretung in ihrem Nachtragsurteil (Urk. 69 Disp.-Ziff. 8) – entgegen der eingereichten Hono- rarnote – mit einem reduzierten Stundenansatz von Fr. 200.– "entsprechend den Ansätzen im Rahmen amtlicher Mandate" (Urk. 69 S. 6). Hiergegen wendet sich die Verteidigung berufungsweise (Prot. II S. 5) und stellt sich auf den Standpunkt, es sei basierend auf dem vereinbarten, ohnehin eher tiefen Stundenansatz von Fr. 250.– eine Entschädigung auszurichten.</w:t>
      </w:r>
    </w:p>
    <w:p>
      <w:r>
        <w:rPr>
          <w:b/>
        </w:rPr>
        <w:t>E. 1.3</w:t>
      </w:r>
    </w:p>
    <w:p>
      <w:r>
        <w:t>Zu den nach Art. 429 Abs. 1 lit. a StPO zu entschädigenden Aufwendungen gehören primär die Kosten der frei gewählten Verteidigung, wenn eine anwaltliche Verbeiständung angesichts der tatsächlichen oder rechtlichen Komplexität des Falls sowie der persönlichen Umstände geboten war und der Arbeitsaufwand und</w:t>
      </w:r>
    </w:p>
    <w:p>
      <w:r>
        <w:t>- 31 - damit das Honorar des Anwalts mit den im Straffall anstehenden Problemen in ei- nem vernünftigen Verhältnis stand (BGE 138 IV 197 = Pra 101 [2012] Nr. 124 E. 2; SCHMID, Praxiskommentar StPO, 2. Aufl. 2013, Art. 429 N 7; Botschaft zur Vereinheitlichung des Strafprozessrechts vom 21.12.2005, BBl 2006, S. 1329). Dabei sind neben der Schwere des Tatvorwurfs und der tatsächlichen und rechtli- chen Komplexität des Falls insbesondere auch die Dauer des Verfahrens und dessen Auswirkungen auf die persönlichen und beruflichen Verhältnisse der be- schuldigten Person zu berücksichtigen (BGE 138 IV 197 E. 2.3.5 m.H.; Urteil des Bundesgerichts 1B_536/2012 vom 9. Januar 2013 E. 2.2). Die Höhe der Entschädigung im Sinne von Art. 429 Abs. 1 lit. a StPO richtet sich nach dem kantonalen Anwaltstarif (SCHMID, Handbuch StPO, 2. Aufl. 2013, N 1811). Die Anwaltsgrundgebühr für das erstinstanzliche Hauptverfahren vor den Einzelgerichten beträgt Fr. 600.– bis Fr. 8'000.– (vgl. § 17 Abs. 1 lit. a AnwGebV), Für das Vorverfahren bemisst sich die Gebühr gemäss § 16 Abs. 1 AnwGebV nach dem notwendigen Zeitaufwand der Vertretung, wobei die Ansätze gemäss § 3 der AnwGebV gelten (Fr. 150.– bis Fr. 350.–). Zu entschädigen sind ferner auch die notwendigen Auslagen (§ 22 Abs. 1 AnwGebV). Grundsätzlich werden diese Verteidigungskosten voll entschädigt; vorausgesetzt, sie sind verhältnis- mässig. Das heisst, der Aufwand der Verteidigung und die Wichtigkeit der Sache bzw. die Schwierigkeit des Falles müssen in einem vernünftigen Verhältnis zu- einander stehen und der Aufwand muss notwendig gewesen sein (SCHMID, Hand- buch StPO, a.a.O., N 1811; BSK StPO-WEHRENBERG/FRANK, 2. Aufl. 2014, Art. 429 N 15). Nach zürcherischer Praxis ist eine Honorarnote des Privatverteidi- gers sodann im Lichte des Grundsatzes der Verhältnismässigkeit und des Gebots zur Schadensminderung auf ihre Angemessenheit zu prüfen (ZR 101 [2002] Nr. 19; ZR 102 [2003] Nr. 49; ZR 107 [2008] Nr. 74; ZR 111 [2012] Nr. 16).</w:t>
      </w:r>
    </w:p>
    <w:p>
      <w:r>
        <w:rPr>
          <w:b/>
        </w:rPr>
        <w:t>E. 1.4</w:t>
      </w:r>
    </w:p>
    <w:p>
      <w:r>
        <w:t>Die geltend gemachte Entschädigung liegt im Rahmen der in § 17 Abs. 1 lit. a AnwGebV vorgesehenen Grundgebühr. Auch der geltend gemachte Stun- denansatz von Fr. 250.– (vgl. Urk. 82) liegt in der Mitte des in § 3 AnwGebV vor- gesehenen Rahmens (Fr. 150.– bis Fr. 350.–). Die (für das Vorverfahren wie auch das erstinstanzliche Hauptverfahren) verlangte Entschädigung erweist sich, auch</w:t>
      </w:r>
    </w:p>
    <w:p>
      <w:r>
        <w:t>- 32 - mit Blick auf die sich im vorliegenden Verfahren stellenden rechtlich nicht trivialen Fragestellungen – als verhältnismässig. Es besteht – entgegen der Vorinstanz – vorliegend jedenfalls kein Anlass, den veranschlagten Stundenansatz und damit das geltend gemachte Honorar zu kürzen. Dem Beschuldigten ist folglich für seine anwaltliche Verteidigung im erstinstanzlichen Verfahren eine – entsprechend dem vorinstanzlichen Verfahrensausgang – reduzierte Prozessentschädigung von Fr. 3'040.40 aus der Gerichtskasse zuzusprechen (= die Hälfte des Honorars für 19 Stunden und 20 Minuten à Fr. 250.–/h plus die Hälfte der Barauslagen von Fr. 797.20, alles zzgl. MWSt). 2. Kosten- und Entschädigungsfolgen im Berufungsverfahren 2.1. Im Berufungsverfahren werden die Kosten nach Obsiegen und Unterliegen auferlegt (Art. 428 Abs. 1 StPO). Nachdem der Beschuldigte mit seiner Berufung vollumfänglich unterliegt, sind ihm die Kosten vollumfänglich aufzuerlegen. 2.2. Entschädigungsansprüche bestehen bei diesem Verfahrensausgang keine (Art. 436 StPO). Es wird beschlossen: 1. Es wird festgestellt, dass das Urteil des Bezirksgerichts Pfäffikon, Einzel- gericht, vom 24. November 2014 (GG140020) wie folgt in Rechtskraft er- wachsen ist: "1. […] 2. Der Beschuldigte ist betreffend Einreise vom 11. August 2013 und an- schliessendem Verbleib in der Schweiz nicht schuldig und wird freige- sprochen. 3. […] 4. […]</w:t>
      </w:r>
    </w:p>
    <w:p>
      <w:r>
        <w:t>- 33 - 5. […]</w:t>
      </w:r>
    </w:p>
    <w:p>
      <w:r>
        <w:rPr>
          <w:b/>
        </w:rPr>
        <w:t>E. 1.5</w:t>
      </w:r>
    </w:p>
    <w:p>
      <w:r>
        <w:t>Auch gegen dieses, dem Beschuldigten am 5. Mai 2015 schriftlich eröffnete Nachtragsurteil (Urk. 59/D1) meldete die Verteidigung mit Eingabe vom 15. Mai 2015 Berufung an (Urk. 59/E). Mit weiterer Eingabe vom 26. Mai 2015 erfolgte die Berufungserklärung (Urk. 66).</w:t>
      </w:r>
    </w:p>
    <w:p>
      <w:r>
        <w:rPr>
          <w:b/>
        </w:rPr>
        <w:t>E. 1.6</w:t>
      </w:r>
    </w:p>
    <w:p>
      <w:r>
        <w:t>Mit Präsidialverfügung vom 29. Mai 2015 wurden die Berufungserklärungen des Beschuldigten der Staatsanwaltschaft zugestellt (Urk. 70). Mit Eingabe vom</w:t>
      </w:r>
    </w:p>
    <w:p>
      <w:r>
        <w:rPr>
          <w:b/>
        </w:rPr>
        <w:t>E. 1.7</w:t>
      </w:r>
    </w:p>
    <w:p>
      <w:r>
        <w:t>Am 26. August 2015 wurden die Parteien auf den 29. Oktober 2015 zur Be- rufungsverhandlung vorgeladen (Urk. 78). 2. Umfang der Berufung 2.1. Trotz Teilfreispruch richtet sich die Berufung des Beschuldigten gegen das vorinstanzliche Urteil als Ganzes, zumal der Hauptantrag auf Verfahrens- einstellung in Bezug auf sämtliche Anklagevorwürfe lautet. Die Berufung wurde vom Beschuldigten mithin nicht beschränkt (Urk. 62 und 66). 2.2. Vom Vorwurf der rechtswidrigen Einreise am 11. August 2013 mit an- schliessend rechtswidrigem Aufenthalt wurde der Beschuldigte indes frei- gesprochen. Da lediglich der Beschuldigte Berufung erhoben hat, ist dieser An- klagepunkt aufgrund des Verschlechterungsverbots (Art. 391 Abs. 2 StPO) einer materiellen Prüfung im Berufungsverfahren entzogen. Die Verteidigung beantragt zwar generell, also auch in Bezug auf den Vorwurf der rechtswidrigen Einreise am 11. August 2013 mit anschliessend rechtswidrigem Aufenthalt, eine Verfahrens- einstellung. Durch diesen Richterspruch ist der Beschuldigte indes nicht be- schwert, weshalb ihm die Legitimation zur Anfechtung dieses Freispruchs abzu- sprechen ist (Art. 382 Abs. 1 StPO; siehe BSK StPO-ZIEGLER/KELLER, 2. Aufl.,</w:t>
      </w:r>
    </w:p>
    <w:p>
      <w:r>
        <w:t>- 8 - Art. 382 N 1 Alinea 2). In Bezug auf den Freispruch ist das vorinstanzliche Urteil mithin in Rechtskraft erwachsen, was vorab festzustellen ist. 2.3. Hinzuweisen ist schliesslich, dass die Vorinstanz den Beschuldigten des rechtswidrigen Aufenthalts für die Zeitspanne von seiner Einreise am 30. September 2013 bis zur Einreichung eines Gesuchs um Erteilung einer Auf- enthaltsbewilligung am 20. November 2013 schuldig gesprochen hat (Urk. 60 S. 22). Eine Bestrafung für den über den 20. November 2013 hinaus dauernden Aufenthalt fällt somit ebenfalls ausser Betracht (Art. 391 Abs. 2 StPO). 3. Gang des ausländerrechtlichen Verfahrens 3.1. Angesichts der mit Blick auf die Beurteilung der Strafbarkeit zu klärenden ausländerrechtlichen Vorfragen rechtfertigt sich ein kurzer Abriss über den Gang des ausländerrechtlichen Verfahrens, welches parallel zum vorliegenden Strafver- fahren seinen Lauf nahm (siehe dazu das Urteil des Verwaltungsgerichts Zürich in dieser Sache: Urteil des Verwaltungsgerichts Zürich VB.2014.00235 vom 9. Juli 2014 Ziff. I-III, Urk. 50/8 S. 2 ff.). 3.2. Mit der staatsanwaltschaftlichen Anordnung der Entlassung aus der straf- prozessualen Haft am 11. November 2013 wurde der Beschuldigte sogleich dem Migrationsamt des Kantons Zürich zugeführt (Urk. 5/4). Am 12. November 2013 verfügte das Migrationsamt des Kantons Zürich die unverzügliche, d.h. sofort voll- streckbare Wegweisung des Beschuldigten aus der Schweiz im Sinne von Art. 64 AuG (Urk. 24/3 = Urk. 25/6 = Urk. 25/11 = Urk. 25/13). Gleichentags wurde die Ausschaffungshaft gemäss Art. 76 Abs. 1 AuG angeordnet und dem Bezirks- gericht Zürich, Zwangsmassnahmengericht, die Bestätigung der Haft beantragt (Urk. 14/1). Der Beschuldigte liess ebenfalls am 12. November 2013 um seine unverzügliche Entlassung aus der Haft sowie um eine anfechtbare Wegweisungs- verfügung ersuchen und darum, dass ihm eine angemessene Ausreisefrist von mindestens 30 Tagen anzusetzen sei (Urk. 25/12).</w:t>
      </w:r>
    </w:p>
    <w:p>
      <w:r>
        <w:t>- 9 - 3.3. Mit Verfügung vom 13. November 2013 wies das Zwangsmassnahmen- gericht den Antrag auf Bestätigung der Ausschaffungshaft ab und verfügte die un- verzügliche Freilassung des Beschuldigten (Urk. 14/2 = Urk. 25/9 = Urk. 50/4). 3.4. Am 20. November 2013 liess der Beschuldigte beim Migrationsamt des Kan- tons Zürich durch seinen Verteidiger um Erteilung einer Aufenthaltsbewilligung er- suchen und darum, ihm den Aufenthalt während des Verfahrens zu gewähren (Urk. 25/6/3 = Urk. 25/7). Zudem stellte der Beschuldigte am 22. November 2013 persönlich ein Gesuch um Erteilung einer Aufenthaltsbewilligung B (Urk. 25/4). 3.5. Ebenfalls am 20. November 2013 wurde gegen die obgenannte Weg- weisungsverfügung bei der Sicherheitsdirektion des Kantons Zürich rekurriert (Urk. 50/5). Die Rekursinstanz (Sicherheitsdirektion des Kantons Zürich) ordnete am 21. November 2013 an, dass bis zum Entscheid über die aufschiebende Wir- kung alle Vollzugsvorkehrungen zu unterbleiben hätten. Mit Entscheid vom 27. März 2014 wies die Rekursinstanz das Rechtsmittel in der Hauptsache ab und setzte dem Beschuldigten eine neue Ausreisefrist von 30 Tagen ab Zustellung des Entscheides (Urk. 31 = Urk. 50/6). 3.6. Gegen diesen Entscheid liess der Beschuldigte am 10. April 2014 Beschwerde an das Verwaltungsgericht des Kantons Zürich führen mit dem Hauptantrag, es seien der Rekursentscheid sowie die Wegweisungsverfügung des Migrationsamts vollumfänglich aufzuheben und das Migrationsamt sei an- zuweisen, den Aufenthalt des Beschuldigten bis zum Entscheid über dessen Auf- enthaltsgesuch zu bewilligen (Urk. 50/7). 3.7. Mit Urteil vom 9. Juli 2014 hiess das Verwaltungsgericht des Kantons Zürich die Beschwerde gut, hob den Rekursentscheid sowie die Wegweisungs- verfügung auf und hielt das Migrationsamt an, den prozeduralen Aufenthalt des Beschuldigten zu regeln (Urk. 50/8). 3.8. Am 13. November 2014 erteilte das Migrationsamt dem Beschuldigten die Aufenthaltsbewilligung B (Urk. 50/9).</w:t>
      </w:r>
    </w:p>
    <w:p>
      <w:r>
        <w:t>- 10 - 4. Eventualbeweisantrag</w:t>
      </w:r>
    </w:p>
    <w:p>
      <w:r>
        <w:rPr>
          <w:b/>
        </w:rPr>
        <w:t>E. 4</w:t>
      </w:r>
    </w:p>
    <w:p>
      <w:r>
        <w:t>Dezember 2014 fristgerecht Berufung anmelden (Art. 399 Abs. 1 StPO; Prot. I S. 17). Am 30. März 2015 wurde dem Beschuldigten das begründete Urteil zuge- stellt (Urk. 59/1). Die Berufungserklärung des Beschuldigten erfolgte mit Eingabe vom 20. April 2015 (Urk. 62) und damit innert der zwanzigtägigen Frist von Art. 399 Abs. 3 StPO. Die Verteidigung rügt in ihrer Berufungserklärung unter an- derem, die Vorinstanz hätte – trotz entsprechender Anträge – nicht über die Ent- schädigung für die Verteidigungskosten und über eine Ausrichtung einer an- gemessenen Entschädigung für die unschuldig erlittene Haft des Beschuldigten entschieden (Urk. 62 S. 2).</w:t>
      </w:r>
    </w:p>
    <w:p>
      <w:r>
        <w:rPr>
          <w:b/>
        </w:rPr>
        <w:t>E. 4.1</w:t>
      </w:r>
    </w:p>
    <w:p>
      <w:r>
        <w:t>Angemessen erscheint unter Berücksichtigung der Täterkomponenten eine Geldstrafe von 20 Tagessätzen. Nachdem das beim Kriminalgericht des Kantons Luzern wegen des Vorwurfs des Betrugs geführte Verfahren bis zum heutigen Urteilsdatum noch nicht ab- geschlossen ist (vgl. Urk. 81), stellt sich vorliegend auch keine Zusatzstrafen- problematik (vgl. Art. 49 Abs. 2 StGB).</w:t>
      </w:r>
    </w:p>
    <w:p>
      <w:r>
        <w:rPr>
          <w:b/>
        </w:rPr>
        <w:t>E. 4.2</w:t>
      </w:r>
    </w:p>
    <w:p>
      <w:r>
        <w:t>Die Gewährung des bedingten Vollzugs, die Anordnung der Mindestprobe- zeit von 2 Jahren (Art. 44 Abs. 1 StGB) sowie auch der vorinstanzliche Verzicht auf Ausfällung einer (Verbindungs-)Busse (vgl. Urk. 60 S. 35 f.) stehen bereits aufgrund des Verschlechterungsverbots ausser Diskussion (Art. 391 Abs. 2 StPO).</w:t>
      </w:r>
    </w:p>
    <w:p>
      <w:r>
        <w:rPr>
          <w:b/>
        </w:rPr>
        <w:t>E. 4.2.1</w:t>
      </w:r>
    </w:p>
    <w:p>
      <w:r>
        <w:t>Die Vorinstanz hat die Rechtslage im Zeitpunkt der hier fraglichen Einreise – 30. September 2013 – eingehend dargestellt und korrekt gefolgert, dass dann- zumal Inhaber eines serbischen biometrischen Reisepasses visumsfrei in die Schweiz einreisen konnten, während diejenigen, welche sich mit einem serbi- schen herkömmlichen Reisepass oder nur mit kosovarischen Ausweispapieren auswiesen, weiterhin ein Visum benötigt hätten (Urk. 60 S.19-21).</w:t>
      </w:r>
    </w:p>
    <w:p>
      <w:r>
        <w:rPr>
          <w:b/>
        </w:rPr>
        <w:t>E. 4.2.2</w:t>
      </w:r>
    </w:p>
    <w:p>
      <w:r>
        <w:t>Zu ergänzen ist, dass diese Visumsbefreiung gestützt auf Schengenrecht ohnehin nur im Hinblick auf Aufenthalte von maximal 90 Tagen gegolten hätte (vgl. Art. 2 Abs. 1 VEV). Entscheidend ist mit anderen Worten die Absicht des Drittstaatsangehörigen. Plant er vor der Einreise im Resultat einen Aufenthalt von mehr als drei Monaten im Schengenraum, gilt das nationale Recht (BGE 139 I 37 E. 3.2.1). Demgemäss wird für Einreisen im Hinblick auf Aufenthalte von mehr als drei Monaten in der Schweiz generell ein nationales Visum benötigt (vgl. Art. 10 AuG; Art. 5 Abs. 1 VEV; so explizit auch BGE 139 I 37 E. 3.2.2). Bereits daraus, dass der Beschuldigte gemäss eigenen Angaben zum Zwecke der Wieder- erlangung der B-Bewilligung eingereist ist (Urk. 49 S. 9) und um diese Bewilligung mit Hinweis auf Art. 43 Abs. 1 AuG ersuchte (Ehegattennachzug; Urk. 25/7; vgl. auch Urk. 24/2), erhellt, dass die Einreise des Beschuldigten am 30. September 2013 im Hinblick auf einen Aufenthalt von mehr als 90 Tagen erfolgte. Hierfür hät- te der Beschuldigte – entgegen der Ansicht der Verteidigung – nach dem Gesag- ten ohnehin und unabhängig von seinem Reisedokument ein Visum benötigt (BGE 139 I 37 E. 3.2.1 und E. 3.2.2; vgl. der Wortlaut von Art. 5 Abs. 1 VEV: "…für die Einreise im Hinblick auf Aufenthalte von mehr als 90 Tagen…").</w:t>
      </w:r>
    </w:p>
    <w:p>
      <w:r>
        <w:rPr>
          <w:b/>
        </w:rPr>
        <w:t>E. 4.2.3</w:t>
      </w:r>
    </w:p>
    <w:p>
      <w:r>
        <w:t>Der Beschuldigte hat somit den objektiven Tatbestand der rechtswidrigen Einreise nach Art. 115 Abs. 1 lit. a in Verbindung mit Art. 5 Abs. 1 lit. a AuG erfüllt.</w:t>
      </w:r>
    </w:p>
    <w:p>
      <w:r>
        <w:rPr>
          <w:b/>
        </w:rPr>
        <w:t>E. 4.3</w:t>
      </w:r>
    </w:p>
    <w:p>
      <w:r>
        <w:t>Die Vorinstanz rechnet die eintägige strafprozessuale Haft an die Strafe an, nicht jedoch die erstandene Ausschaffungshaft. Sie begründet dies – wohl unter Bezugnahme auf BGE 124 IV 1 E. 2b – damit, dass eine Anrechnung nur dann in Betracht komme, wenn der Betroffene ohne die Ausschaffungshaft ohnehin in Un- tersuchungshaft genommen worden wäre (Urk. 60 S. 32). Dieser Bundesgerichtsentscheid liegt nunmehr bald 18 Jahre zurück. Die darin vertretene Auffassung lässt sich wohl nicht mehr halten. Deshalb wird in der neu- eren Lehre denn auch die Auffassung vertreten, dass die Ausschaffungshaft dann anzurechnen sei, wenn durch das Verhalten des Ausländers sowohl das Strafver- fahren als auch das verwaltungsrechtliche Inhaftierungsverfahren in Gang gesetzt worden seien, die Voraussetzungen für die Anordnung von Untersuchungshaft aber gerade nicht vorlägen (BSK StGB I-METTLER/SPICHTIN, 3. Aufl., Art. 51 N 19). Der Beschuldigte wurde am 11. November 2013 aus der vorläufigen Festnahme direkt der Migrationsbehörde zugeführt (Urk. 5/4), wo er dann umgehend in Aus-</w:t>
      </w:r>
    </w:p>
    <w:p>
      <w:r>
        <w:t>- 29 - schaffungshaft genommen wurde, wobei das Bezirksgericht Zürich, Zwangs- massnahmengericht, die Bestätigung der Ausschaffungshaft mit Verfügung vom 13. November 2013 ablehnte und die sofortige Haftentlassung anordnete (Urk. 14/2). Das gegen den Beschuldigten geführte Strafverfahren mündete damit direkt in einen – nebst der strafprozessualen vorläufigen Festnahme – weiteren, nunmehr ausländerrechtlichen Freiheitsentzug, wofür gemäss dem Entscheid des Zwangsmassnahmengericht offenbar die Voraussetzungen fehlten. Vor diesem Hintergrund ist der gesamte, gleichwohl unter welchem Titel erstandene Frei- heitsentzug auf die Strafe anzurechnen, konkret 4 Tage (vom 11. November 2013, 09.15 Uhr [Urk. 5/1 S. 1] bis zum 13. November 2013 [wobei der genaue Entlassungszeitpunkt nicht aktenkundig ist, aber wohl davon auszugehen ist, dass dieser nach 09.15 Uhr liegt]). 5. Tagessatzhöhe</w:t>
      </w:r>
    </w:p>
    <w:p>
      <w:r>
        <w:rPr>
          <w:b/>
        </w:rPr>
        <w:t>E. 4.3.1</w:t>
      </w:r>
    </w:p>
    <w:p>
      <w:r>
        <w:t>Der Beschuldigte macht geltend, er habe nicht gewusst, dass für die vi- sumsfreie Einreise ein biometrischer Pass erforderlich sei (dazu bereits vor- stehend). Er bestreitet damit Kenntnis der massgeblichen rechtlichen Einreise- vorschriften.</w:t>
      </w:r>
    </w:p>
    <w:p>
      <w:r>
        <w:rPr>
          <w:b/>
        </w:rPr>
        <w:t>E. 4.3.2</w:t>
      </w:r>
    </w:p>
    <w:p>
      <w:r>
        <w:t>Die Einreisevorschriftsverletzung ist Tatbestandsmerkmal von Art. 115 Abs. 1 lit. a AuG. Die Einreisevorschriften selber sind indes nicht im nämlichen Tatbestand normiert, sondern ergeben sich vielmehr aus dem materiellen Auslän- derrecht (vorliegend Art. 5 Abs. 1 lit. a AuG i.V.m. Art. 5 Abs. 1 VEV). Vor diesem Hintergrund ist zu klären, ob der vorgetragene Einwand der Nichtkenntnis der massgeblichen Einreisevorschriften die Frage des Vorsatzes (resp. des Sachver- haltsirrtums) oder vielmehr eine Frage der Kenntnis der Verbotsmaterie (resp. des Rechts- oder Verbotsirrtums) beschlägt.</w:t>
      </w:r>
    </w:p>
    <w:p>
      <w:r>
        <w:rPr>
          <w:b/>
        </w:rPr>
        <w:t>E. 4.3.3</w:t>
      </w:r>
    </w:p>
    <w:p>
      <w:r>
        <w:t>Die Abgrenzung zwischen Rechts- und Sachverhaltsirrtum (Art. 21 und Art. 13 StGB) ist gerade im Nebenstrafrecht mit einigen Schwierigkeiten behaftet (vgl. dazu VETTERLI/D'ADDARIO DI PAOLO, a.a.O., vor Art. 115 ff. AuG N 21 ff.). Dies hängt mit der dargestellten Verwaltungsrechtsakzessorietät des Nebenstrafrechts zusammen. Der Tatbestand des Art. 115 AuG beinhaltet als Tatbestandselement die Rechtswidrigkeit (der Einreise und des Aufenthalts), die sich aus dem Verstoss gegen das materielle Verwaltungs-, hier Ausländerrecht, ergibt (Verstoss gegen Einreisevorschriften nach Art. 5 AuG sowie gegen die Bewilligungspflicht nach Art. 10 Abs. 2 AuG). Während das Bundesgericht in BGE 109 IV 65 E. 3 noch erwog, der Irrtum über normative Tatbestandsmerkmale, "welche in einem andern Rechtsgebiet (ausserhalb des Strafrechts) umschrieben werden", sei nach den Regeln über den Rechtsirrtum zu beurteilen, hielt es in BGE 129 IV 238 E. 3.2.1 fest, dass Irrtümer über sämtliche normativen Tatbestandselemente den Regeln des Sachverhaltsirrtums unterstehen, und zwar unabhängig vom Rechts- gebiet, das sie beschlagen. Unzutreffende Vorstellungen über rechtlich geprägte Tatbestandsmerkmale führen indes nicht ohne Weiteres zum Vorsatzausschluss. Eine juristisch exakte Erfassung des gesetzlichen Begriffs ist nicht verlangt. Viel- mehr genügt es, wenn der Beschuldigte den Tatbestand so verstanden hat, wie es der landläufigen Anschauung eines Laien entspricht (sog. Parallelwertung in</w:t>
      </w:r>
    </w:p>
    <w:p>
      <w:r>
        <w:t>- 19 - der Laiensphäre). Es genügt, wenn der Beschuldigte eine zutreffende Vorstellung von der sozialen Bedeutung seines Handelns hat (BGE 129 IV 238 E. 3.2.2).</w:t>
      </w:r>
    </w:p>
    <w:p>
      <w:r>
        <w:rPr>
          <w:b/>
        </w:rPr>
        <w:t>E. 4.3.4</w:t>
      </w:r>
    </w:p>
    <w:p>
      <w:r>
        <w:t>Mit der Vorinstanz bestehen vorliegend keine vernünftigen Zweifel, dass dem Beschuldigten klar war, dass er sich mit seinem Vorhaben, in die Schweiz einzureisen und sich hernach hierzulande aufzuhalten in einem rechtlich stark re- gulierten Bereich bewegte. Die Vorinstanz hat die einzelnen Umstände, die auf Vorsatz schliessen lassen, korrekt gewürdigt (Urk. 60 S. 24-27). Aus seinen frühe- ren Einreisen in die Schweiz mit anschliessenden Aufenthalten wusste er um die Visumspflicht. Nicht zum Nachteil gereichen kann dem Beschuldigten indes, dass er anlässlich der erstinstanzlichen Hauptverhandlung davon sprach, im Jahre 2008 vor ''Ablaufen des Visums'' ausgereist zu sein (Urk. 49 S. 9). Man könnte geneigt sein, gestützt auf den Wortlaut dieser Aussage auf Kenntnis der Visums- pflicht zu schliessen. Diese Wortwahl kann dem Beschuldigten indes nicht zum Nachteil gereichen, scheint er doch in jenem Kontext viel eher die "Aufenthalts- bewilligung" gemeint zu haben (vgl. auch die Einvernahme anlässlich der Beru- fungsverhandlung, Urk. 84 S. 5 f.: "Ich bin eingereist, um mein Visum [recte: Auf- enthaltsbewilligung] zu bekommen." Ferner Urk. 84 S. 8, wonach er Visum und Aufenthaltsbewilligung verwechsle). Aber aus dem Umstand, dass der Beschul- digte gemäss seinen eigenen Angaben in der Vergangenheit kein Visum benötigt hatte, weil er im Besitze eines Aufenthaltstitels war (Urk. 84 S. 8), musste ihm klar sein, dass seine hier fragliche Einreise weiteren Vorschriften – namentlich der Vi- sumspflicht – unterworfen war, zumal er bei dieser Einreise im Gegensatz zu frü- her über keinen Aufenthaltstitel verfügte, der ihn zur visumsfreien Einreise be- rechtigt hätte. Der Standpunkt des Beschuldigten, er habe nichts von den Einrei- sevorschriften gewusst, erweist sich vor diesem Hintergrund als unglaubhaft.</w:t>
      </w:r>
    </w:p>
    <w:p>
      <w:r>
        <w:rPr>
          <w:b/>
        </w:rPr>
        <w:t>E. 4.3.5</w:t>
      </w:r>
    </w:p>
    <w:p>
      <w:r>
        <w:t>Auch der Einwand, er habe konkret von der Änderungsverordnung 1244/2009 vom 30. November 2009 keine Kenntnis gehabt und auch nicht haben sollen, vermag am Vorliegen eines rechtsgenügenden Vorsatzes nichts zu än- dern. Selbst wenn er von dieser Änderung tatsächlich keine Kenntnis hätte, würde ihm dies nicht zum Vorteil gereichen. Die von der Verteidigung ins Feld geführte Änderungsverordnung (Verordnung [EG] Nr. 1244/2009 vom 30. November 2009</w:t>
      </w:r>
    </w:p>
    <w:p>
      <w:r>
        <w:t>- 20 - zur Änderung der Verordnung [EG] Nr. 539/2001 zur Aufstellung der Liste der Drittländer, deren Staatsangehörige beim Überschreiten der Außengrenzen im Besitz eines Visums sein müssen, sowie der Liste der Drittländer, deren Staats- angehörige von dieser Visumpflicht befreit sind) zeitigte ohnehin nur Auswirkun- gen auf Einreisen, welche dem Schengenrecht unterstehen, mithin auf solche im Hinblick auf einen Aufenthalt von maximal 90 Tagen (Befreiung von der Visums- pflicht für Inhaber biometrischer serbischer Reisepässe). Da der Beschuldigte in- des wie gezeigt zum Zwecke eines länger dauernden Aufenthalts in die Schweiz kam, beurteilte sich die Rechtmässigkeit seiner Einreise nach nationalem Recht (vgl. Art. 2 Abs. 1 VEV sowie Art. 5 Abs. 1 VEV). Sein Wissen musste sich folglich nicht spezifisch auf diese Änderungen beziehen. Im Übrigen weist die Vorinstanz mit Recht darauf hin (Urk. 60 S. 25), dass die Einreisevorschriften für den Be- schuldigten vor Inkrafttreten dieser Änderungen strenger waren, da zuvor für ihn selbst nach Schengenrecht eine visumsfreie Einreise überhaupt nicht möglich war. Aufgrund seiner Erfahrungen aus früheren Einreisen in die Schweiz und Auf- enthaltsbewilligungsverfahren war ihm durchaus – zumindest in einem landläufi- gen Sinne – klar, dass seine Einreise am 30. September 2013 ein rechtlich regu- lierter Vorgang war, dessen Rechtmässigkeit das Vorliegen eines Visums beding- te. Indem er ungeachtet seines eigenen Wissens ohne Visum einreiste, nahm er zumindest in Kauf, gegen die dannzumal geltenden Einreisevorschriften zu verstossen.</w:t>
      </w:r>
    </w:p>
    <w:p>
      <w:r>
        <w:rPr>
          <w:b/>
        </w:rPr>
        <w:t>E. 4.3.6</w:t>
      </w:r>
    </w:p>
    <w:p>
      <w:r>
        <w:t>Der Beschuldigte hat anlässlich der vorinstanzlichen Hauptverhandlung ausgeführt, Staatsanwältin … – die Staatsanwältin in einem früheren gegen den Beschuldigten geführten, aber sistierten Verfahren (vgl. Urk. 6 und Urk. 20) – ha- be ihm gesagt, er könne einreisen (vgl. Urk. 48 S. 10 ff.). Im Rahmen der Befragung anlässlich der Berufungsverhandlung brachte der Beschuldigte sodann – erstmals im Verfahren – vor, er sei bei seiner Einreise an der Grenze kontrolliert worden, er habe dort mitgeteilt, er reise ein, um seine Aufenthaltsbewilligung zu erhalten und ihm sei die Einreise gewährt worden (Urk. 84 S. 7). Die Verteidigung beantragt, wie vorstehend erwähnt, in diesem Zusammenhang die Befragung des Sohnes des Beschuldigten, der die Vorgänge an der Grenze bestätigen könne (Prot. II S. 7). Man habe den Beschuldigten an der Grenze auch ohne Visum und</w:t>
      </w:r>
    </w:p>
    <w:p>
      <w:r>
        <w:t>- 21 - biometrischen Pass einreisen lassen. Die Einreise des Beschuldigten sei deshalb behördlich kontrolliert und im Rahmen der Grenzkontrolle für zulässig erachtet worden (Prot. II S. 12). Der – hier sinngemäss geltend gemachte, vorsatzausschliessende – Vertrauens- schutz ist nur zu bejahen, wenn die angerufene Behörde im Rahmen ihrer Kom- petenz gehandelt hat und der Betroffene sich nicht unverzüglich Kenntnis über die Unrichtigkeit der Auskunft verschaffen konnte (vgl. BGE 131 II 627 E. 6.1 S. 636 f. mit Hinweisen). Dass weder die Staatsanwaltschaft noch ein einzelner Zöllner die zuständige Behörde für Auskünfte in migrationsrechtlichen Fragen ist, musste dem Beschuldigten klar sein, nachdem er schon in der Vergangenheit für frühere Aufenthaltsbewilligungsverfahren mit den Migrationsbehörden Umgang gehabt hatte. Da sich der Beschuldigte im Vorfeld seiner Einreise nicht – bspw. bei den zuständigen Behörden – über die Einreisevorschriften erkundigt hatte und der Be- schuldigte aufgrund seiner vergangenen Erfahrungen um die starke rechtliche Regulierung der Einreise und des Aufenthalts wusste, nahm er die Verletzung der Einreisevorschriften zumindest in Kauf. Aus seinen Vorbringen kann der Beschuldigte somit nichts zu seinen Gunsten ab- leiten, und zwar selbst wenn sich die Einreise, wie von ihm beschrieben, zugetra- gen haben sollte. Die Aussagen des Sohnes des Beschuldigten zum genauen Vorgang der Einreise erweisen sich damit als unerheblich, weshalb der entspre- chende Beweisantrag abzuweisen ist (vgl. Art. 139 Abs. 2 StPO).</w:t>
      </w:r>
    </w:p>
    <w:p>
      <w:r>
        <w:rPr>
          <w:b/>
        </w:rPr>
        <w:t>E. 4.3.7</w:t>
      </w:r>
    </w:p>
    <w:p>
      <w:r>
        <w:t>Der Beschuldigte verhielt sich demgemäss auch in subjektiver Hinsicht tat- bestandsmässig.</w:t>
      </w:r>
    </w:p>
    <w:p>
      <w:r>
        <w:rPr>
          <w:b/>
        </w:rPr>
        <w:t>E. 5</w:t>
      </w:r>
    </w:p>
    <w:p>
      <w:r>
        <w:t>Rechtswidriger Aufenthalt ab dem 30. September 2013 bis zum 20. November 2013</w:t>
      </w:r>
    </w:p>
    <w:p>
      <w:r>
        <w:rPr>
          <w:b/>
        </w:rPr>
        <w:t>E. 5.1</w:t>
      </w:r>
    </w:p>
    <w:p>
      <w:r>
        <w:t>Eine Erhöhung der vorinstanzlich festgelegten Tagessatzhöhe verbietet sich allein schon aufgrund des Verschlechterungsverbots.</w:t>
      </w:r>
    </w:p>
    <w:p>
      <w:r>
        <w:rPr>
          <w:b/>
        </w:rPr>
        <w:t>E. 5.2</w:t>
      </w:r>
    </w:p>
    <w:p>
      <w:r>
        <w:t>Die mit Präsidialverfügung vom 29. Mai 2015 angesetzte Frist zur Dokumen- tation seiner finanziellen Verhältnisse (Urk. 70) liess der Beschuldigte unbenutzt verstreichen und liess durch seinen Verteidiger mitteilen, dass er von seinem Aussageverweigerungsrecht Gebrauch mache (Urk. 76). Es ist jedenfalls nicht zu beanstanden, wenn die Vorinstanz die Tagessatzhöhe gestützt auf die zuletzt be- kannten Steuerdaten (Urk. 33/2/1+2) auf tiefe Fr. 30.– festsetzt (Urk. 60 S. 29 f.). IV. Beschlagnahme 1. Die Vorinstanz hat die mit Verfügung der Staatsanwaltschaft See/Oberland vom 11. November 2013 beschlagnahmte Barschaft von Fr. 1'200.– eingezogen und zur Deckung der Verfahrenskosten verwendet. 2. Gegenstände und Vermögenswerte einer beschuldigten Person können im Rahmen einer sogenannten Deckungsbeschlagnahmung vorläufig konfisziert werden, zur Sicherstellung von allfälligen (der beschuldigten Person aufzuerle-</w:t>
      </w:r>
    </w:p>
    <w:p>
      <w:r>
        <w:t>- 30 - genden) Verfahrenskosten, Geldstrafen, Bussen und Entschädigungen (Art. 263 Abs. 1 lit. b StPO). Gemäss Art. 268 Abs. 1 StPO kann vom Vermögen des Be- schuldigten grundsätzlich (vorbehältlich der Schranken von Abs. 2-3) so viel be- schlagnahmt werden, als voraussichtlich zur Deckung dieser Kosten und Sank- tionen nötig ist. Für Deckungsbeschlagnahmen (und Ersatzforderungsbeschlag- nahmen, Art. 71 Abs. 3 Satz 1 StGB) kann auch das rechtmässig erworbene Vermögen eines Beschuldigten herangezogen werden (an Stelle vieler: Urteil des Bundesgerichts 1B_109/2014 vom 3. November 2014 E. 4.1). 3. Die Vorinstanz hat sich zutreffend mit diesen Rechtsgrundlagen auseinan- dergesetzt. Der Schluss, wonach die Beschlagnahme von Fr. 1'200.– einen zu rechtfertigenden Eingriff in das Vermögen des Beschuldigten darstellt, ist nicht zu beanstanden. Auch mit Blick auf die entstandenen Kosten ist die Deckungs- beschlagnahme nicht zu hoch ausgefallen. V. Kosten- und Entschädigungsfolgen 1. Erstinstanzliche Kosten- und Entschädigungsfolgen</w:t>
      </w:r>
    </w:p>
    <w:p>
      <w:r>
        <w:rPr>
          <w:b/>
        </w:rPr>
        <w:t>E. 5.3</w:t>
      </w:r>
    </w:p>
    <w:p>
      <w:r>
        <w:t>Der objektive Tatbestand ist unstreitig erfüllt, nachdem der Beschuldigte von Beginn weg im Hinblick auf einen länger als 3 Monate dauernden Aufenthalt in die Schweiz einreiste, ohne für diesen Aufenthalt über eine Bewilligung zu verfügen. Diese wurde ihm erst nach einem migrationsrechtlichen Verfahren über mehrere Instanzen am 13. November 2014 erteilt (Urk. 50/9). Die Unrechtmässigkeit des Aufenthalts ergibt sich im Übrigen auch direkt aus dem Umstand, dass der Be- schuldigte rechtswidrig eingereist ist (dazu BGE 131 VI 174 E. 3.2; MAURER, a.a.O., Art. 115 AuG N 9 und 19). Dass sich der Beschuldigte auf das Recht auf prozeduralen Aufenthalt erst ab Einleitung des Bewilligungsverfahrens – mithin ab</w:t>
      </w:r>
    </w:p>
    <w:p>
      <w:r>
        <w:t>- 23 - dem 20. November 2013 – berufen kann (vgl. Art. 17 Abs. 2 AuG: "während des Verfahrens"), scheint auch die Verteidigung so zu sehen (Urk. 49 S. 12).</w:t>
      </w:r>
    </w:p>
    <w:p>
      <w:r>
        <w:rPr>
          <w:b/>
        </w:rPr>
        <w:t>E. 5.4</w:t>
      </w:r>
    </w:p>
    <w:p>
      <w:r>
        <w:t>Der Beschuldigte macht auch im Zusammenhang mit dem Vorwurf des rechtswidrigen Aufenthalts geltend, er habe sich einerseits nicht bewusst bei den hiesigen Behörden nicht gemeldet und er habe andererseits auch nicht um das Bewilligungserfordernis gewusst.</w:t>
      </w:r>
    </w:p>
    <w:p>
      <w:r>
        <w:rPr>
          <w:b/>
        </w:rPr>
        <w:t>E. 5.4.1</w:t>
      </w:r>
    </w:p>
    <w:p>
      <w:r>
        <w:t>Zunächst ist darauf hinzuweisen, dass sich der Anklagevorwurf, wonach sich der Beschuldigte "bewusst" nicht bei den schweizerischen Behörden gemel- det habe, nicht erstellen lässt. Dieser Vorwurf ist zwar für die rechtliche Würdi- gung des Verhaltens des Beschuldigten ohnehin nicht von Relevanz, allerdings wird dies ihm Rahmen der Strafzumessung eine gewisse Bedeutung erlangen. Nach Aussagen des Beschuldigten erfolgte die Einreise zum Zwecke der Wieder- erlangung einer B-Bewilligung (Urk. 48 S. 9; zuletzt auch Urk. 84 S. 6). Dass er sich hierfür bei den Migrationsbehörden proaktiv melden muss, liegt auf der Hand, was der Beschuldigte denn auch sogleich tat, indem er am 30.09.2013 in Zürich eine Vollmacht für seinen Verteidiger betreffend "Migrationsrecht" unterzeichnete (Urk. 50/1) und jener sich mit Eingabe vom 2. Oktober 2013 unter Beilage näm- licher Vollmacht beim Migrationsamt des Kantons Zürich meldete zwecks Akten- einsicht (Urk. 50/2). Vor diesem Hintergrund kann jedenfalls von einem "bewussten Untertauchen resp. Nichtmelden" keine Rede sein.</w:t>
      </w:r>
    </w:p>
    <w:p>
      <w:r>
        <w:rPr>
          <w:b/>
        </w:rPr>
        <w:t>E. 5.4.2</w:t>
      </w:r>
    </w:p>
    <w:p>
      <w:r>
        <w:t>Was das bestrittene Wissen über das Bewilligungserfordernis anbelangt, so ist zunächst auf die vorstehend ausgeführten grundsätzlichen Bemerkungen zum Vorsatz zu verweisen. Der Einwand des Beschuldigten, er habe nicht um die Be- willigungspflicht gewusst, ist unglaubhaft und durch sein eigenes Verhalten und seine eigenen Angaben im Laufe des Verfahrens widerlegt. Sein Wissen um die für seinen Aufenthalt für mehr als drei Monate erforderliche Bewilligung zeigt sich darin, dass er für die Bewilligungserlangung in die Schweiz kam. Nachdem der Beschuldigte zumindest eventualvorsätzlich rechtswidrig eingereist war, musste</w:t>
      </w:r>
    </w:p>
    <w:p>
      <w:r>
        <w:t>- 24 - ihm auch klar sein, dass sein daran anschliessender Aufenthalt (zumindest bis zur Gesuchseinreichung am 20. November 2013) illegal war.</w:t>
      </w:r>
    </w:p>
    <w:p>
      <w:r>
        <w:rPr>
          <w:b/>
        </w:rPr>
        <w:t>E. 5.4.3</w:t>
      </w:r>
    </w:p>
    <w:p>
      <w:r>
        <w:t>Auch in subjektiver Hinsicht ist der Tatbestand des rechtswidrigen Aufent- halts nach Art. 115 Abs. 1 lit. b AuG i.V.m. Art. 10 f. AuG erfüllt.</w:t>
      </w:r>
    </w:p>
    <w:p>
      <w:r>
        <w:rPr>
          <w:b/>
        </w:rPr>
        <w:t>E. 6</w:t>
      </w:r>
    </w:p>
    <w:p>
      <w:r>
        <w:t>[…]</w:t>
      </w:r>
    </w:p>
    <w:p>
      <w:r>
        <w:rPr>
          <w:b/>
        </w:rPr>
        <w:t>E. 7</w:t>
      </w:r>
    </w:p>
    <w:p>
      <w:r>
        <w:t>[…]</w:t>
      </w:r>
    </w:p>
    <w:p>
      <w:r>
        <w:rPr>
          <w:b/>
        </w:rPr>
        <w:t>E. 8</w:t>
      </w:r>
    </w:p>
    <w:p>
      <w:r>
        <w:t>[…]</w:t>
      </w:r>
    </w:p>
    <w:p>
      <w:r>
        <w:rPr>
          <w:b/>
        </w:rPr>
        <w:t>E. 9</w:t>
      </w:r>
    </w:p>
    <w:p>
      <w:r>
        <w:t>(Mitteilungen)</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- 35 - Die Beschwerdelegitimation und die weiteren Beschwerdevoraussetzungen richten sich nach den massgeblichen Bestimmungen des Bundesgerichts- gesetzes. Obergericht des Kantons Zürich I. Strafkammer Zürich, 29. Oktober 2015 Der Präsident: Der Gerichtsschreiber: Oberrichter lic. iur. P. Marti Dr. iur. F. Manfrin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