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SB150149 vom 23. Juni 2015</w:t>
      </w:r>
    </w:p>
    <w:p>
      <w:r>
        <w:t>ZH Obergericht, 2015-06-23, DE</w:t>
      </w:r>
    </w:p>
    <w:p>
      <w:r>
        <w:rPr>
          <w:b/>
        </w:rPr>
        <w:t xml:space="preserve">Quelle: </w:t>
      </w:r>
      <w:r>
        <w:t>https://mcp.opencaselaw.ch/entscheid/zh_obergericht_SB150149</w:t>
      </w:r>
    </w:p>
    <w:p>
      <w:r>
        <w:t>FR: ZH_OBERGERICHT SB150149 du 23 juin 2015</w:t>
      </w:r>
    </w:p>
    <w:p>
      <w:r>
        <w:t>IT: ZH_OBERGERICHT SB150149 del 23 giugno 2015</w:t>
      </w:r>
    </w:p>
    <w:p>
      <w:pPr>
        <w:pStyle w:val="Heading2"/>
      </w:pPr>
      <w:r>
        <w:t>Erwägungen</w:t>
      </w:r>
    </w:p>
    <w:p>
      <w:r>
        <w:rPr>
          <w:b/>
        </w:rPr>
        <w:t>E. 12</w:t>
      </w:r>
    </w:p>
    <w:p>
      <w:r>
        <w:t>Mai 2015 (Urk. 52/2) bestätigt. Letzteres erkennt beim Beschuldigten eine intrinsisch motivierte Phase des Umbruchs respektive der Neuorientierung und bescheinigt ihm gar ein vergleichsweise stark ausgeprägtes Verantwortungsbe- wusstsein und Selbstkontrolle (Urk. 52/2 S. 16). Mit einer endlich erfolgten Ein- sicht des Beschuldigten stimmt sodann überein, dass es seit dem inkriminierten Geschehnis bis heute und damit während einer – angesichts der bis dahin regel- mässigen Delinquenz des Beschuldigten immerhin beachtlichen – Zeitspanne von beinahe zwei Jahren zu keinem Vorfall mehr gekommen ist. Eigentlich eine Selbstverständlichkeit, aber doch erfreulich und dem Beschuldigten daher ebenso zugute zu halten ist schliesslich die Tatsache, dass er sich – ohne unmittelbaren betreibungsrechtlichen Druck – um die Bezahlung seiner Schulden bemüht und seit einiger Zeit monatliche Abzahlungen von rund Fr. 1'000.– leistet (vgl. Prot. II S. 12). Im Ergebnis kann gesagt werden, dass die positive Entwicklung und die stabilen Lebensumstände des Beschuldigten die aufgrund der letzten beiden Ver- urteilungen indizierte Befürchtung, es könne erneut zu Delikten kommen, gerade ausreichend zu kompensieren vermögen und sich damit zu einer besonders güns- tigen Prognose verdichten. Die Berufung des Beschuldigten ist unter diesen Um- ständen gutzuheissen und es ist der Vollzug der Freiheitsstrafe bedingt aufzu- schieben. Angesichts der bis zum inkriminierten Ereignis ausgesprochen hartnä- ckigen Delinquenz des Beschuldigten, welche nicht zuletzt für die ursprüngliche ernstliche Befürchtung weiterer Delikte verantwortlich zeichnete, ist die Probezeit auf das Maximum von fünf Jahren festzusetzen. Es liegt nun am Beschuldigten zu zeigen, dass der von ihm behauptete und ihm mit diesem Erkenntnis attestierte Umbruch in seinem Denken und Handeln tatsächlich stattgefunden hat, indem er sich auch während dieser langen Probezeit wohl verhält. Zumal er vom Beschuldigten nicht angefochten wurde und unter spezialprä- ventiven Gesichtspunkten auch im Hinblick auf den Aufschub des Vollzugs der</w:t>
      </w:r>
    </w:p>
    <w:p>
      <w:r>
        <w:t>- 8 - freiheitsentziehenden Sanktion sinnvoll erscheint, ist der vorinstanzlich festge- setzte Vollzug der Geldstrafe zu bestätigen. IV. Kostenfolge Ausgangsgemäss sind die zweitinstanzlichen Kosten und diejenigen der amtlichen Verteidigung im Berufungsverfahren auf die Gerichtskasse zu nehmen.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