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SB150087 vom 4. Mai 2015</w:t>
      </w:r>
    </w:p>
    <w:p>
      <w:r>
        <w:t>ZH Obergericht, 2015-05-04, DE</w:t>
      </w:r>
    </w:p>
    <w:p>
      <w:r>
        <w:rPr>
          <w:b/>
        </w:rPr>
        <w:t xml:space="preserve">Quelle: </w:t>
      </w:r>
      <w:r>
        <w:t>https://mcp.opencaselaw.ch/entscheid/zh_obergericht_SB150087</w:t>
      </w:r>
    </w:p>
    <w:p>
      <w:r>
        <w:t>FR: ZH_OBERGERICHT SB150087 du 4 mai 2015</w:t>
      </w:r>
    </w:p>
    <w:p>
      <w:r>
        <w:t>IT: ZH_OBERGERICHT SB150087 del 4 maggio 2015</w:t>
      </w:r>
    </w:p>
    <w:p>
      <w:pPr>
        <w:pStyle w:val="Heading2"/>
      </w:pPr>
      <w:r>
        <w:t>Erwägungen</w:t>
      </w:r>
    </w:p>
    <w:p>
      <w:r>
        <w:rPr>
          <w:b/>
        </w:rPr>
        <w:t>E. 1</w:t>
      </w:r>
    </w:p>
    <w:p>
      <w:r>
        <w:t>Mit dem eingangs im Dispositiv wiedergegebenen Urteil des Bezirksgerichtes Zürich, 3. Abteilung, vom 3. November 2014, wurde der Beschuldigte des Verbre- chens gegen das Betäubungsmittelgesetz im Sinne von aArt. 19 Ziff. 1 al. 2 und 4 in Verbindung mit Ziff. 2 lit. a BetmG (Eventualanklagepunkt, Nebendossier Ziff. 2) sowie des Verbrechens gegen das Betäubungsmittelgesetz im Sinne von Art. 19 Abs. 1 lit. c, d und g in Verbindung mit Abs. 2 lit. a BetmG (Hauptdossier) schuldig gesprochen. Mit Bezug auf Nebendossier Ziff. 1 wurde der Beschuldigte vom Vorwurf des Verbrechens gegen das Betäubungsmittelgesetz freigesprochen. Der Beschuldigte wurde mit einer Freiheitsstrafe von 32 Monaten bestraft, wovon 7 Tage durch Haft erstanden waren. Der Vollzug der Freiheitsstrafe wurde unter Ansetzung einer Probezeit von vier Jahren im Umfang von 20 Monaten aufge- schoben. Weiter wurde eine beschlagnahmte Barschaft mit den Verfahrenskosten verrechnet und über verschiedene weitere beschlagnahmte Betäubungsmittel und Gegenstände entschieden. Schliesslich wurden dem Beschuldigten sämtliche Verfahrenskosten, ausgenommen diejenigen der amtlichen Verteidigung, aufer- legt, jedoch soweit sie über die beschlagnahmten Vermögenswerte hinausgehen, abgeschrieben (Urk. 41).</w:t>
      </w:r>
    </w:p>
    <w:p>
      <w:r>
        <w:t>- 6 -</w:t>
      </w:r>
    </w:p>
    <w:p>
      <w:r>
        <w:rPr>
          <w:b/>
        </w:rPr>
        <w:t>E. 2</w:t>
      </w:r>
    </w:p>
    <w:p>
      <w:r>
        <w:t>Gegen dieses mündlich eröffnete Urteil liess der Beschuldigte am 6. November 2014 Berufung anmelden (Urk. 37). Das begründete Urteil wurde dem amtlichen Verteidiger am 19. Januar 2015 zugestellt (Urk. 40/2). Die Berufungserklärung des amtlichen Verteidigers vom 4. Februar 2015 ging innert Frist ein (Urk. 42). Nach entsprechender Fristansetzung (Urk. 45) erklärte die Staatsanwaltschaft am 11. März 2015 Verzicht auf Anschlussberufung und beantragte die Bestätigung des angefochtenen Urteils (Urk. 47).</w:t>
      </w:r>
    </w:p>
    <w:p>
      <w:r>
        <w:rPr>
          <w:b/>
        </w:rPr>
        <w:t>E. 3</w:t>
      </w:r>
    </w:p>
    <w:p>
      <w:r>
        <w:t>Der Beschuldigte liess beantragen, er sei vom Vorwurf bezüglich des Eventual- anklagepunktes des Nebendossiers Ziff. 2 ebenfalls freizusprechen und lediglich mit einer bedingten Freiheitsstrafe, unter Ansetzung einer Probezeit von zwei Jah- ren, zu bestrafen (Urk. 42 und Urk. 30).</w:t>
      </w:r>
    </w:p>
    <w:p>
      <w:r>
        <w:rPr>
          <w:b/>
        </w:rPr>
        <w:t>E. 4</w:t>
      </w:r>
    </w:p>
    <w:p>
      <w:r>
        <w:t>Unangefochten und damit in Rechtskraft erwachsen ist der Schuldspruch des Verbrechens gegen das Betäubungsmittelgesetz im Sinne von Art. 19 Abs. 1 lit. c, d und g in Verbindung mit Abs. 2 lit. a BetmG mit Bezug auf das Hauptdossier (Disp. Ziff. 1 al. 4 und 5), der Freispruch mit Bezug auf das Nebendossier Ziff. 1, (Disp. Ziff. 2), die Einziehungen bzw. Beschlagnahmungen (Disp. Ziff. 5 - 7), das Kostendispositiv (Disp. Ziff. 8 u. 9) sowie die Entschädigung des amtlichen Ver- teidigers (Disp. Ziff. 10). Die Rechtskraft ist vorab mittels Beschluss festzustellen.</w:t>
      </w:r>
    </w:p>
    <w:p>
      <w:r>
        <w:rPr>
          <w:b/>
        </w:rPr>
        <w:t>E. 5</w:t>
      </w:r>
    </w:p>
    <w:p>
      <w:r>
        <w:t>Die Verteidigung hat den Einwand, dass die Anklageergänzung der Staats- anwaltschaft betreffend die Eventualanklage nach den Plädoyers nicht mehr zu- lässig sei (Prot. I S. 8), anlässlich der Berufungsverhandlung nicht mehr vorge- bracht. Dennoch ist darauf hinzuweisen, dass eine Anklageergänzung gemäss Art. 333 Abs. 1 i.V.m. Art. 379 StPO selbst an der Berufungsverhandlung noch möglich ist (vgl. dazu Urteil 6B_976/2014 vom 28.April 2015, E. 1.3). 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