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SB150030 vom 18. November 2015</w:t>
      </w:r>
    </w:p>
    <w:p>
      <w:r>
        <w:t>ZH Obergericht, 2015-11-18, DE</w:t>
      </w:r>
    </w:p>
    <w:p>
      <w:r>
        <w:rPr>
          <w:b/>
        </w:rPr>
        <w:t xml:space="preserve">Quelle: </w:t>
      </w:r>
      <w:r>
        <w:t>https://mcp.opencaselaw.ch/entscheid/zh_obergericht_SB150030</w:t>
      </w:r>
    </w:p>
    <w:p>
      <w:r>
        <w:t>FR: ZH_OBERGERICHT SB150030 du 18 novembre 2015</w:t>
      </w:r>
    </w:p>
    <w:p>
      <w:r>
        <w:t>IT: ZH_OBERGERICHT SB150030 del 18 novembre 2015</w:t>
      </w:r>
    </w:p>
    <w:p>
      <w:pPr>
        <w:pStyle w:val="Heading2"/>
      </w:pPr>
      <w:r>
        <w:t>Erwägungen</w:t>
      </w:r>
    </w:p>
    <w:p>
      <w:r>
        <w:rPr>
          <w:b/>
        </w:rPr>
        <w:t>E. 1</w:t>
      </w:r>
    </w:p>
    <w:p>
      <w:r>
        <w:t>Der Beschuldigten A._____ werden in der Anklageschrift der Anklagebehör- de vom 4. Juni 2014 Delikte zur Last gelegt, die sie zwischen "ca. 2008" und No- vember 2013 und somit teilweise vor und teilweise nach Inkrafttreten der schwei- zerischen Strafprozessordnung begangen haben soll (Urk. 20). Nachdem der an- gefochtene erstinstanzliche Entscheid am 25. September 2014 ergangen ist (Urk. 54), gelten – auch im Berufungsverfahren – die Bestimmungen der schwei- zerischen Strafprozessordnung (Art. 454 Abs. 1 StPO).</w:t>
      </w:r>
    </w:p>
    <w:p>
      <w:r>
        <w:rPr>
          <w:b/>
        </w:rPr>
        <w:t>E. 1.1</w:t>
      </w:r>
    </w:p>
    <w:p>
      <w:r>
        <w:t>Gegenstand des Berufungsverfahrens im Schuldpunkt bilden einzig – aber immerhin – die tätlichen Übergriffe der Beschuldigten gegenüber ihren Töchtern B._____ und C._____ (Privatklägerinnen 1 und 2), wie sie ihr in Anklageziffer 1.1. unter dem Tatvorwurf der mehrfachen schweren Körperverletzung angelastet werden.</w:t>
      </w:r>
    </w:p>
    <w:p>
      <w:r>
        <w:rPr>
          <w:b/>
        </w:rPr>
        <w:t>E. 1.2</w:t>
      </w:r>
    </w:p>
    <w:p>
      <w:r>
        <w:t>Die Beschuldigte hat in ihrer ersten polizeilichen Einvernahme – einzig – zu- gegeben, sie habe die Töchter "vielleicht einmal mit einer Ohrfeige geschlagen". Mehr als eine Ohrfeige sei jeweils nicht ausgeteilt worden und sie habe ausser ih- rer Hand nichts zum Schlagen verwendet (Urk. 2/1 S. 8). Im weiteren Verlauf des Verfahrens hat die Beschuldigte die Aussage zur Sache verweigert (Urk. 2/2 ff.; Urk. 34 S. 2; Urk. 88). Zur Erstellung des massgeblichen Sachverhalts sind daher namentlich die Aussagen der beiden Privatklägerinnen B._____ und C._____ zu prüfen; das Beweisfundament wird ergänzt durch die Zeugenaussagen diverser Dritter, Fotografien der Verletzungen der Privatklägerinnen sowie fachärztliche Gutachten (vgl. Urk. 54 S. 7 unten mit Verweisen). 1.3.1 Die Verteidigung hat anlässlich der Hauptverhandlung dargelegt, in wel- chem Umfang die Beschuldigte die ihr angelasteten Übergriffe anerkenne. Noch im Hauptverfahren hat die Verteidigung geltend gemacht, im über das Geständnis der Beschuldigten hinausgehenden Umfang verletze die Anklageformulierung das Akkusationsprinzip (Urk. 37 S. 3 und S. 19). Auch heute sieht die Verteidigung das Anklageprinzip verletzt. Zur Begründung führt sie an, der Anklageschrift fehl- ten gerade in Bezug auf den Hauptvorwurf der jahrelangen, regelmässigen und</w:t>
      </w:r>
    </w:p>
    <w:p>
      <w:r>
        <w:t>- 7 - häufigen Misshandlungen praktisch sämtliche erforderlichen konkreten Angaben. Der Sachverhalt sei derart vage, ungenau und pauschal beschrieben, dass nicht festgestellt werden könne, welche genauen Handlungen der Beschuldigten wann, wie, wo, wie oft, mit welcher Intensität und mit welchen konkreten Folgen vor- geworfen würden (Urk. 91 S. 4 ff.). 1.3.2 Die Vorinstanz hat dazu zutreffend erwogen, die vorliegende Formulierung der zu prüfenden Tatvorwürfe lasse die Beschuldigte und ihre Verteidigung in rechtsgenügender Weise erkennen, was der Beschuldigten angelastet werde und wogegen sie sich zu verteidigen habe (Urk. 54 S. 32 f. mit Verweisen; Entscheid des Bundesgerichts 6B_389/2010 vom 27. September 2010 E. 1.3.1. mit Verwei- sen; 6B_716/2014 vom 17. Oktober 2014 E. 2.3.). 1.3.3 Das Bundesgericht hielt im Entscheid 6B_288/2014 vom 22. Januar 2015 zum Anklageprinzip das Folgende fest (E. 1.2): Nach dem Anklagegrundsatz be- stimme die Anklageschrift den Gegenstand des Gerichtsverfahrens (Umgren- zungsfunktion; Art. 29 Abs. 2 und Art. 32 Abs. 2 BV; Art. 9 und Art. 325 StPO; Art. 6 Ziff. 1 und Ziff. 3 lit. a und b EMRK). Das Gericht sei an den in der Anklage wiedergegebenen Sachverhalt gebunden (Immutabilitätsprinzip), nicht aber an dessen rechtliche Würdigung durch die Anklagebehörde (vgl. Art. 350 StPO). Die Anklage habe die der beschuldigten Person zur Last gelegten Delikte in ihrem Sachverhalt so präzise zu umschreiben, dass die Vorwürfe im objektiven und sub- jektiven Bereich genügend konkretisiert seien. Hinsichtlich der Vorsatzelemente genüge grundsätzlich der Hinweis auf den gesetzlichen Straftatbestand im An- schluss an die Darstellung des Sachverhalts als zureichende Umschreibung der subjektiven Merkmale, wenn der betreffende Tatbestand nur mit Vorsatz began- gen werden könne (BGE 120 IV 348 E. 3c S. 356 mit Hinweisen). Das Anklage- prinzip bezwecke zugleich den Schutz der Verteidigungsrechte der angeschuldig- ten Person und diene dem Anspruch auf rechtliches Gehör (Informationsfunktion; BGE 133 IV 235 E. 6.2 und 6.3 S. 244 ff.; Urteil 6B_130/2012 vom 22. Oktober 2012 E. 6.2, nicht publ. in: BGE 138 IV 209; je mit Hinweisen). Hinsichtlich der zeitlichen Bestimmtheit von Anklageschriften erwog das Bundesgericht im Ent- scheid 6B_432/2011 vom 26. Oktober 2011, E. 2.2, kleinere Ungenauigkeiten in</w:t>
      </w:r>
    </w:p>
    <w:p>
      <w:r>
        <w:t>- 8 - den Orts- und Zeitangaben führten nicht zur Unbeachtlichkeit der Anklage. Allge- mein gelte, je gravierender die Vorwürfe, desto höhere Anforderungen seien an das Anklageprinzip zu stellen (Urteil des Bundesgerichts 6B_333/2007 vom</w:t>
      </w:r>
    </w:p>
    <w:p>
      <w:r>
        <w:rPr>
          <w:b/>
        </w:rPr>
        <w:t>E. 2</w:t>
      </w:r>
    </w:p>
    <w:p>
      <w:r>
        <w:t>Mit dem eingangs im Dispositiv wiedergegebenen Urteil der Vorinstanz vom 25. September 2014 wurde die Beschuldigte A._____ anklagegemäss der mehr- fachen schweren Körperverletzung schuldig gesprochen und mit 5 Jahren Frei- heitsstrafe sowie einer Busse bestraft. Ferner wurde sie der Verletzung der Mel- depflicht gemäss § 48a SHG schuldig, von den Vorwürfen der falschen Anschul- digung sowie der Freiheitsberaubung jedoch freigesprochen (Urk. 54 S. 54). Ge- gen diesen Entscheid liess die Beschuldigte durch ihren amtlichen Verteidiger mit Eingabe vom 6. Oktober 2014 innert gesetzlicher Frist Berufung anmelden (Art. 399 Abs. 1 StPO; Urk. 40). Die Berufungserklärung der Beschuldigten ging, nachdem ihr bzw. ihrem Verteidiger das begründete Urteil am 12. Januar 2015 zugestellt worden war (Urk. 52/2), ebenfalls innert gesetzlicher Frist bei der Beru-</w:t>
      </w:r>
    </w:p>
    <w:p>
      <w:r>
        <w:t>- 5 - fungsinstanz ein (Art. 399 Abs. 3 StPO; Urk. 57). Die Anklagebehörde hat mit Eingabe vom 23. Februar 2015 innert Frist Anschlussberufung erhoben (Urk. 61; Art. 400 Abs. 2 f. und Art. 401 StPO). Auf die seitens der Privatklägerin Stadt Zü- rich mit Eingabe vom 23. Dezember 2014 erklärte Berufung (Urk. 42) wurde mit Beschluss der Kammer vom 26. März 2015 nicht eingetreten (Urk. 63). Die ver- bleibenden Privatklägerinnen haben weder Berufung noch Anschlussberufung er- klärt. Beweisergänzungsanträge wurden im Berufungsverfahren seitens der Anklage- behörde sowie der Privatklägerinnen nicht gestellt (Art. 389 Abs. 3 StPO; Urk. 61; Urk. 92; Prot. II S. 9 f.). Die Beschuldigte liess anlässlich der Berufungsverhand- lung diverse Unterlagen einreichen, welche als Urk. 90/1-22 zu den Akten ge- nommen wurden. Diesem Beweisantrag wurde damit Folge geleistet (Prot. II S. 10). Ferner liess sie die Befragung der Privatklägerinnen 1 und 2 beantragen, über deren Aussagen zudem ein Glaubhaftigkeitsgutachten einzuholen sei (Urk. 89 S. 2). Diese Beweisanträge werden im Rahmen des Schuldpunktes an geeigneter Stelle behandelt (vgl. hinten Ziff. II.4.3).</w:t>
      </w:r>
    </w:p>
    <w:p>
      <w:r>
        <w:rPr>
          <w:b/>
        </w:rPr>
        <w:t>E. 3</w:t>
      </w:r>
    </w:p>
    <w:p>
      <w:r>
        <w:t>Die appellierende Beschuldigte sowie die anschlussappellierende Anklage- behörde haben ihre (Anschluss-)Berufung jeweils teilweise beschränkt (Urk. 57; Urk. 61; Art. 399 Abs. 4 StPO). Demnach sind im Berufungsverfahren nicht ange- fochten: − der vorinstanzliche Schuldspruch betreffend den Tatvorwurf der Verletzung der Meldepflicht (Urteilsdispositiv-Ziff. 1. alinea 2) − der vorinstanzliche Freispruch von den Tatvorwürfen der falschen Anschul- digung und der Freiheitsberaubung (Urteilsdispositiv-Ziff. 2.) − die vorinstanzliche Sanktionierung der Übertretung (Urteilsdispositiv-Ziff. 3. und 4. jeweils zweite Hälfte) − die vorinstanzliche Vormerknahme, dass die Beschuldigte ihre grundsätzli- che Verpflichtung zur Leistung von Schadenersatz und Genugtuung an die Privatklägerinnen 1 und 2 anerkannt hat (Urteilsdispositiv-Ziff. 5.)</w:t>
      </w:r>
    </w:p>
    <w:p>
      <w:r>
        <w:t>- 6 - − die vorinstanzliche Regelung betreffend beschlagnahmte Gegenstände so- wie Barschaft (Urteilsdispositiv-Ziff. 6. und 7.) sowie − die vorinstanzliche Kostenfestsetzung (Urteilsdispositiv-Ziff. 8.). Vom Eintritt der Rechtskraft dieser Anordnungen ist vorab Vormerk zu nehmen (Art. 404 Abs. 1 StPO). II. Schuldpunkt</w:t>
      </w:r>
    </w:p>
    <w:p>
      <w:r>
        <w:rPr>
          <w:b/>
        </w:rPr>
        <w:t>E. 3.1</w:t>
      </w:r>
    </w:p>
    <w:p>
      <w:r>
        <w:t>Zur Tatkomponente und dort zur objektiven Tatschwere hat die Vorinstanz erwogen, die jahrelangen körperlichen Misshandlungen der Beschuldigten ge- genüber ihren Töchtern hätten zunächst zu diversen physischen Verletzungen (Hämatome am ganzen Körper, Kratzer etc.), insbesondere aber auch zu einer erheblichen psychischen Schädigung geführt. Als Teil des praktizierten Straf- und Erziehungsregimes hätte dies zusammen mit den zahlreichen Beschimpfungen, den stetigen Schuldzuweisungen und den durch das Regime hervorgerufenen anhaltenden Angstzuständen bei beiden Töchtern zu schweren posttraumati- schen Belastungsstörungen sowie im Falle der Privatklägerin 2 zu einer depressi- ven Reaktion geführt. Die Tat wiege objektiv mittelschwer (Urk. 54 S. 49).</w:t>
      </w:r>
    </w:p>
    <w:p>
      <w:r>
        <w:t>- 26 - Die Anklagebehörde argumentiert im Berufungsverfahren, angesichts der Brutali- tät und der Länge der Deliktsdauer, in welcher die Beschuldigte die Privatkläge- rinnen 1 und 2 so übel geplagt habe, sei eine Freiheitsstrafe von 5 ½ Jahren ver- schuldensadäquat (Urk. 61). Die Beschuldigte habe in sadistischer Art und Weise und mit grosser Gewaltbereitschaft gehandelt. Es gebe am Verhalten der Be- schuldigten gar nichts zu beschönigen. Man stehe fassungslos vor der Beschul- digten und dem Ausmass, mit dem sie die Privatklägerinnen sowohl physisch als auch psychisch geplagt, ja folterähnlich misshandelt habe, weshalb eine Einsatz- strafe im mittleren Bereich des Strafrahmens gerechtfertigt sei (Urk. 92 S. 2-3). Die Kritik der Verteidigung am vorinstanzlichen Strafmass fusst namentlich auf ei- ner vom vorliegend zu ergehenden Schuldspruch – stark – abweichenden rechtli- chen Würdigung (Urk. 57; Urk. 91). Leidtragend waren vorliegend zwei Opfer, was zur mehrfachen Tatbegehung führt. Betreffend die Privatklägerin 1 war die Deliktsdauer im Vergleich zur Privat- klägerin 2 kürzer, dafür war die Tatintensität höher. Betreffend die Privatklägerin 2 gilt das Umgekehrte. Mit der Vorinstanz rechtfertigt sich eine einheitliche Beurtei- lung, was auch von keiner Seite moniert wurde. Die Beurteilung der Vorinstanz ist nicht zu beanstanden: Die Deliktsdauer zog sich betreffend beide Privatklägerinnen über mehrere Jahre hin. Angesichts der Verletzungen der Privatklägerin 1, wie sie fotodokumentarisch aktenkundig sind, ist belegt, mit welcher Brutalität die Beschuldigte die Privatklägerinnen körperlich gezüchtigt hat und welche Schmerzen diese dabei erlitten haben müssen. Als lo- gische Folge solcher Prügel-Attacken müssen sich die Privatklägerinnen in einem mehr oder weniger permanenten Zustand der Angst vor neuen Übergriffen bis hin zu den angedrohten Fingeramputationen befunden haben. Die Lebensqualität der Privatklägerinnen während des gesamten Deliktszeitraums war zweifellos stark eingeschränkt. Die Beschuldigte verstiess in geradezu erschreckender Weise da- gegen, dass Eltern die körperliche, geistige und sittliche Entfaltung ihrer Kinder zu fördern und zu schützen haben (Art. 302 Abs. 1 ZGB).</w:t>
      </w:r>
    </w:p>
    <w:p>
      <w:r>
        <w:t>- 27 - Die Vorinstanz hat ferner zutreffend, allerdings fälschlicherweise zur subjektiven Tatschwere, erwogen, die Beschuldigte habe gegenüber ihren eigenen Kindern eine erhebliche Gefühlskälte an den Tag gelegt und geradezu nach vermeintli- chen Gründen gesucht, um ihre Töchter misshandeln zu können. Die Schuld für ihre gewaltsamen Bestrafungshandlungen habe sie dabei konsequent ihren Kin- dern zugeschoben. Erschwerend zu berücksichtigen seien zudem die erheblichen Anstrengungen der Beschuldigten, die Verletzungen mittels zusätzlichem Druck auf die Kinder gegenüber Dritten zu vertuschen (Urk. 54 S. 49 f.). Die physischen und psychischen Übergriffe der Beschuldigten wiegen daher in- nerhalb der grossen Spannweite des Möglichen und angesichts des weiten, an- zuwendenden Strafrahmens mit Sicherheit (und mit der Vorinstanz, Urk. 54 S. 49) mittelschwer. Ein schweres Verschulden, wie es die Anklagebehörde sieht (Urk. 92 S. 2), liegt noch nicht vor.</w:t>
      </w:r>
    </w:p>
    <w:p>
      <w:r>
        <w:rPr>
          <w:b/>
        </w:rPr>
        <w:t>E. 3.2</w:t>
      </w:r>
    </w:p>
    <w:p>
      <w:r>
        <w:t>Zur subjektiven Tatschwere war die Beschuldigte mit der Vorinstanz und ge- stützt auf das über sie erstellte psychiatrische Gutachten im Tatzeitraum in ihrer Schuldfähigkeit nicht eingeschränkt, auch wenn sie an einer dissozialen Per- sönlichkeitsstörung litt (Urk. 54 S. 50; Urk. 9/2 S. 41 f.). Dasselbe stellte auch Dr. med. G._____ in seiner von der Verteidigung anlässlich der vorinstanzlichen Hauptverhandlung eingereichten Stellungnahme fest. Er räumte zwar ein, es sei möglich, dass das Medikament Keppra ein Ko-Faktor bei den Aggressions- handlungen gewesen sei (Urk. 33/2 S. 2). Eine eingeschränkte Schuldfähigkeit bzw. einen Einfluss auf die Einsichts- und Steuerungsfähigkeit leitet er daraus in- des nicht ab (a.a.O. S. 4). Das Motiv ihrer Taten ist einerseits aufgrund ihrer Qualität und andererseits auf- grund der Aussageverweigerung der Beschuldigten nur schwer zu ergründen. Weshalb eine Mutter ihre eigenen Kinder, die schutzbedürftig, ihr daher zum Schutz anvertraut und eigentlich hilflos sind, derart malträtiert, ist kaum nachzu- vollziehen. Die Beschuldigte weist in ihrer Vita auch nicht eine eigene Miss- brauchshistorie auf (Urk. 9/2 S. 18). Das psychiatrische Gutachten geht von einer ambivalent hasserfüllten und sadistischen Beziehungsgestaltung der Beschuldig- ten zu den Privatklägerinnen 1 und 2 aus (Urk. 9/2 S. 44). Was die Beschuldigte</w:t>
      </w:r>
    </w:p>
    <w:p>
      <w:r>
        <w:t>- 28 - mit ihrem drakonischen Regime erreichen wollte, bleibt letztlich schleierhaft. Auf die Wahrnehmung eines Züchtigungsrechts gegenüber – behaupteterweise – renitenten ("provozierenden") Kindern kann sie sich jedenfalls entgegen der Ver- teidigung keinesfalls berufen. Die Taten der Beschuldigten haben mit einem allen- falls noch vorhandenen Züchtigungsrecht absolut nichts zu tun. Was die Beschul- digte gemacht hat, hat allfällige "erzieherische Massnahmen" in jeder Hinsicht überschritten. Vielmehr wurden die Privatklägerinnen schlicht gequält und allfälli- ge kleinere, kindliche Verfehlungen der Privatklägerinnen im üblichen Rahmen dienten der Beschuldigten nur als vorgeschobene Aufhänger. Wenn die Verteidigung schliesslich – wie bereits vorstehend angeführt – argu- mentiert, die Beschuldigte sei im Tatzeitraum überfordert und finanziell unter Druck gewesen, sie habe sich in einer finanziellen und psychischen Abwärtsspira- le befunden und es habe an der Unterstützung der Väter der Privatklägerinnen gemangelt (Urk. 37 S. 4-12; S. 16 ff.; Urk. 91 S. 20 f.), ist dabei, selbst wenn dies zutreffen sollte, keinerlei Zusammenhang zu ihrem wie vorstehend erwogen ei- gentlich unerklärlichen Tatvorgehen erkennbar.</w:t>
      </w:r>
    </w:p>
    <w:p>
      <w:r>
        <w:rPr>
          <w:b/>
        </w:rPr>
        <w:t>E. 3.3</w:t>
      </w:r>
    </w:p>
    <w:p>
      <w:r>
        <w:t>Die subjektive Tatschwere relativiert die objektive Tatschwere nicht. Das Verschulden der Beschuldigten wiegt damit insgesamt jedenfalls mittelschwer. Die Vorinstanz hat die objektive Tatschwere – zurecht – als mittelschwer und das Verschulden insgesamt – mit unzutreffenden Erwägungen zur subjektiven Tat- schwere – als erheblich eingestuft (Urk. 54 S. 50). Nach der Beurteilung der Tat- komponente bei einem mindestens mittelschweren Verschulden resultiert eine hypothetische Einsatzstrafe ca. in der Mitte des anwendbaren Strafrahmens; eine Einsatzstrafe von 5 Jahren erweist sich daher als angemessen.</w:t>
      </w:r>
    </w:p>
    <w:p>
      <w:r>
        <w:rPr>
          <w:b/>
        </w:rPr>
        <w:t>E. 3.4</w:t>
      </w:r>
    </w:p>
    <w:p>
      <w:r>
        <w:t>Zur Täterkomponente hat die Vorinstanz den Werdegang und die persönli- chen Verhältnisse der Beschuldigten angeführt, worauf zu verweisen ist. Anläss- lich der Berufungsverhandlung ergaben sich keinerlei Ergänzungen, da die Be- schuldigte keine Aussagen – auch nicht zur Person – machte (Urk. 88) und sich auch die Verteidigung diesbezüglich nicht äusserte (Urk. 91 S. 21 ff.).</w:t>
      </w:r>
    </w:p>
    <w:p>
      <w:r>
        <w:t>- 29 - Die konkreten persönlichen Verhältnisse der Beschuldigten wiegen bei der Straf- zumessung neutral. Eine besondere Strafempfindlichkeit weist sie nicht auf. Die nicht einschlägige Vorstrafe aus dem Jahr 2009 wiegt leicht straferhöhend (Urk. 56). Das einerseits nachgeschobene und andererseits sehr reduzierte Ge- ständnis der Beschuldigten sowie das ganz allgemein geäusserte Bedauern wir- ken sich lediglich ganz leicht strafmindernd aus. Ein wirklich relevant-positives Nachtatverhalten in Form von Einsicht, Reue und einem den gesamten erstellten Sachverhalt betreffenden Geständnis kann die Beschuldigte – insbesondere vor dem Hintergrund, dass sie den kompletten subjektiven Tatbestand bestreiten lässt (Urk. 91 S. 21) – nicht für sich in Anspruch nehmen. Die Verteidigung macht geltend, es sei die Epilepsie-Krankheit und damit einher- gehend die Einnahme des Medikaments Keppra in die Strafzumessung einzube- ziehen. Dies habe der Gutachter nicht gemacht, weshalb ein völlig unbrauchbares und unvollständiges Gutachten abgeliefert worden sei (Urk. 91 S. 24 f.). Die Be- schuldigte hat gegenüber dem Gutachter jegliche Kooperation verweigert (Urk. 9/2 S. 11 und S. 15). Demzufolge hatte der Gutachter selbstredend keine Kenntnis davon, dass, wie oft und in welcher Dosierung die Beschuldigte Keppra allenfalls eingenommen hat. Zudem war der Verteidiger der Beschuldigten bereits im Zeitpunkt der Begutachtung der Beschuldigten als deren amtlicher Verteidiger eingesetzt (Urk. 13/2). Dieser hätte dem Gutachter daher entsprechende Er- gänzungsfragen stellen können – entweder vor Erstellung oder nach Erhalt des Gutachtens. Es sind deswegen keine Gründe vorhanden, nicht auf das Gutachten von Dr. med. H._____ abzustellen; von einem unnützen Gutachten kann keine Rede sein. Die Verteidigung zählt zudem – unter Verweis auf die Arzneimittel- informationen zu Keppra – dessen Nebenwirkungen auf. Dass die Beschuldigte tatsächlich unter solchen Nebenwirkungen litt, wird indes nicht geltend gemacht, sondern es wird bloss die Überforderung der Beschuldigten angeführt (vgl. Urk. 91 S. 22 ff.). Ferner finden sich im Gutachten keinerlei Hinweise auf Wahn- störung oder Verhaltensweisen, die in diese Richtung gehen bzw. die auf eine Nebenwirkung schliessen lassen, wie sie die Verteidigung als Nebenwirkung von Keppra vorbrachte (Urk. 9/2 S. 11). Schliesslich geht auch aus dem Schreiben von Dr. med. I._____ nicht hervor, dass die Beschuldigte tatsächlich unter den</w:t>
      </w:r>
    </w:p>
    <w:p>
      <w:r>
        <w:t>- 30 - erwähnte Nebenwirkungen gelitten hätte (Urk. 33/1). Hätte die Beschuldigte sol- che Veränderungen in ihrer Persönlichkeit festgestellt, wäre zu erwarten gewe- sen, dass sie sich mit ihrer behandelnden Neurologin in Verbindung gesetzt und diese die geschilderten Veränderungen festgehalten hätte. Solches ist jedoch nicht ersichtlich und wird nicht geltend gemacht. Es kann daher nicht ausge- schlossen werden, dass die Einnahme des Medikamentes Keppra Auswirkungen auf die Persönlichkeit der Beschuldigten hatte, dies aber höchstens in ganz leich- tem Masse. Dieser Umstand ist damit marginal bzw. ganz leicht zugunsten der Beschuldigten zu berücksichtigen. Dass die Beschuldigte ihre beiden Töchter in den letzten beiden Jahren weder sehen noch sprechen konnte und vollständig von ihnen abgeschnitten war, was sie ausserordentlich belaste, ist entgegen der Verteidigung (Urk. 91 S. 26) als Folge der Taten der Beschuldigten nicht strafmindernd zu veranschlagen. Wenn die Verteidigung schliesslich anführt, die Presseberichterstattung müsse berücksichtigt werden (Urk. 91 S. 26 f.), ist ihr wiederum nicht zu folgen. Die Berichterstattung in den Medien überschritt das normale Ausmass nicht. Ein Rückschluss auf die Beschuldigte war bzw. ist – mit Ausnahme ihres engsten Um- felds – nicht möglich. Im Übrigen gilt die Unschuldsvermutung nur für das Gericht und nicht für die Medien.</w:t>
      </w:r>
    </w:p>
    <w:p>
      <w:r>
        <w:rPr>
          <w:b/>
        </w:rPr>
        <w:t>E. 3.5</w:t>
      </w:r>
    </w:p>
    <w:p>
      <w:r>
        <w:t>Die Beurteilung der Täterkomponente wirkt sich auf die nach der Beurteilung der Tatkomponente bemessene hypothetische Einsatzstrafe weder erhöhend noch reduzierend aus, vielmehr heben sich die straferhöhenden und die strafmin- dernden Umstände in etwa auf. Die Beschuldigte ist daher mit 5 Jahren Freiheits- strafe zu bestrafen.</w:t>
      </w:r>
    </w:p>
    <w:p>
      <w:r>
        <w:rPr>
          <w:b/>
        </w:rPr>
        <w:t>E. 3.6</w:t>
      </w:r>
    </w:p>
    <w:p>
      <w:r>
        <w:t>Die erstandene Haft sowie der vorzeitige Strafvollzug von 766 Tagen (14. Oktober 2013 [Urk. 16/2] bis und mit heute) sind an die auszufällende Frei- heitsstrafe anzurechnen (Art. 51 StGB).</w:t>
      </w:r>
    </w:p>
    <w:p>
      <w:r>
        <w:t>- 31 - 4. Bei dieser Sanktionshöhe stellt sich die Frage der Gewährung des (teil-) bedingten Strafvollzugs schon aus objektiven Gründen nicht (Art. 42 Abs. 1 und Art. 43 Abs. 1 StGB). 5. Immerhin vollständigkeitshalber ist auf das Folgende hinzuweisen: Gemäss dem vorstehenden Beweisresultat delinquierte die Beschuldigte teilweise vor Er- lass des Strafbefehls der Staatsanwaltschaft Zürich-Limmat vom 5. Mai 2009 und teilweise während der mit diesem Entscheid angesetzten Probezeit (Urk. 56). Die Fragen einer teilweisen Zusatzstrafe (Art. 49 Abs. 2 StGB) sowie eines Widerrufs des bedingten Vollzugs der Vorstrafe (Art. 46 StGB) wurden jedoch im bisherigen Verfahren weder von einer Partei noch von der Vorinstanz je aufgeworfen. 6. Die Höhe der durch die Vorinstanz ausgefällten Übertretungsbusse blieb zwar gänzlich unbegründet (Urk. 54 S. 48-51). Die appellierende Verteidigung wie die anschlussappellierende Anklagebehörde haben diese Sanktion jedoch aus- drücklich nicht angefochten (Urk. 57 S. 1 und Urk. 61).</w:t>
      </w:r>
    </w:p>
    <w:p>
      <w:r>
        <w:rPr>
          <w:b/>
        </w:rPr>
        <w:t>E. 7</w:t>
      </w:r>
    </w:p>
    <w:p>
      <w:r>
        <w:t>Die mit Verfügung der Staatsanwaltschaft IV des Kantons Zürich vom 9. Januar 2014 bei der Beschuldigten beschlagnahmte Barschaft in der Höhe von Fr. 22'500.– sowie das bei der Raiffeisen Bank mit Verfügung vom 18. November 2013 gesperrte Gut- haben werden definitiv beschlagnahmt und zur teilweisen Deckung der Verfahrens- kosten verwendet.</w:t>
      </w:r>
    </w:p>
    <w:p>
      <w:r>
        <w:rPr>
          <w:b/>
        </w:rPr>
        <w:t>E. 8</w:t>
      </w:r>
    </w:p>
    <w:p>
      <w:r>
        <w:t>Die Gerichtsgebühr wird festgesetzt auf: Fr. 4'000.– ; die weiteren Kosten betragen: Fr. 12'000.– Gebühr Anklagebehörde Fr. 45'537.85 Auslagen Untersuchung Fr. 47'084.80 amtliche Verteidigung Allfällige weitere Auslagen bleiben vorbehalten.</w:t>
      </w:r>
    </w:p>
    <w:p>
      <w:r>
        <w:t>- 35 -</w:t>
      </w:r>
    </w:p>
    <w:p>
      <w:r>
        <w:rPr>
          <w:b/>
        </w:rPr>
        <w:t>E. 9</w:t>
      </w:r>
    </w:p>
    <w:p>
      <w:r>
        <w:t>(…)"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