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SB140411 vom 8. September 2015</w:t>
      </w:r>
    </w:p>
    <w:p>
      <w:r>
        <w:t>ZH Obergericht, 2015-09-08, DE</w:t>
      </w:r>
    </w:p>
    <w:p>
      <w:r>
        <w:rPr>
          <w:b/>
        </w:rPr>
        <w:t xml:space="preserve">Quelle: </w:t>
      </w:r>
      <w:r>
        <w:t>https://mcp.opencaselaw.ch/entscheid/zh_obergericht_SB140411</w:t>
      </w:r>
    </w:p>
    <w:p>
      <w:r>
        <w:t>FR: ZH_OBERGERICHT SB140411 du 8 septembre 2015</w:t>
      </w:r>
    </w:p>
    <w:p>
      <w:r>
        <w:t>IT: ZH_OBERGERICHT SB140411 del 8 settembre 2015</w:t>
      </w:r>
    </w:p>
    <w:p>
      <w:pPr>
        <w:pStyle w:val="Heading2"/>
      </w:pPr>
      <w:r>
        <w:t>Erwägungen</w:t>
      </w:r>
    </w:p>
    <w:p>
      <w:r>
        <w:rPr>
          <w:b/>
        </w:rPr>
        <w:t>E. 1</w:t>
      </w:r>
    </w:p>
    <w:p>
      <w:r>
        <w:t>Mit Urteil des Bezirksgerichts Zürich, 10. Abteilung - Einzelgericht, vom 12. Juni 2014 wurde die Beschuldigte der üblen Nachrede sowie der Beschimp- fung für schuldig befunden und mit einer bedingten Geldstrafe von 14 Tagessät- zen zu Fr. 200.– bestraft, unter Ansetzung einer Probezeit von zwei Jahren. So- dann wurde ihr eine Busse in der Höhe von Fr. 2'200.– auferlegt. Weiter wurde die Beschuldigte verpflichtet, dem Privatkläger einen Schadenersatz in der Höhe von Fr. 2'546.10 sowie eine Genugtuung in der Höhe von Fr. 800.– nebst 5 % Zins zu bezahlen; im Mehrbetrag wurden die Begehren auf den Zivilweg verwie- sen resp. abgewiesen (Urk. 28). Gegen dieses Urteil meldete die Beschuldigte am 20. Juni 2014 Berufung an und reichte am 18. August 2014 die Berufungserklärung ein (Urk. 24 und 29). Da- rin beantragte sie die ausdrückliche Bestätigung des Freispruchs betreffend Ver- leumdung sowie die Aufhebung der Dispositivziffern 1 - 8 des vorinstanzlichen Ur- teils und die Freisprechung von Schuld und Strafe, unter Kosten- und Entschädi- gungsfolgen. Mit Schreiben vom 2. Oktober 2014 meldete der Privatkläger vollum- fänglich Anschlussberufung an (Urk. 34). Die Staatsanwaltschaft verzichtete auf Berufung und Anschlussberufung (Urk. 33).</w:t>
      </w:r>
    </w:p>
    <w:p>
      <w:r>
        <w:rPr>
          <w:b/>
        </w:rPr>
        <w:t>E. 2</w:t>
      </w:r>
    </w:p>
    <w:p>
      <w:r>
        <w:t>Zur Anschlussberufung legitimiert ist, wer zur Erhebung einer Hauptbe- rufung berechtigt ist. Selbst wer vor der Zustellung des begründeten Entscheids auf selbständige Berufung verzichtet oder seine Hauptberufung zurückgezogen hat, kann eine Anschlussberufung zur Berufung eines andern Verfahrensbeteilig- ten erheben (BSK StPO-EUGSTER, 2. Auflage 2013, Art. 401 N 2). Beschwert und damit zur Hauptberufung legitimiert ist, wer am erstinstanzlichen Hauptverfahren teilgenommen hat und ein rechtlich geschütztes Interesse an der Aufhebung oder Abänderung eines Entscheids hat. Die Legitimation des Privatklägers ist mangels eigenem schutzwürdigen Interessen hinsichtlich der Anfechtung der Sanktion be- schränkt (BSK StPO-EUGSTER, a.a.O., Art. 398 N 7). Der Privatkläger ist somit,</w:t>
      </w:r>
    </w:p>
    <w:p>
      <w:r>
        <w:t>- 5 - ausser hinsichtlich der Anfechtung der Sanktion, zur Anschlussberufung legiti- miert. Die Beschuldigte macht eine Verletzung des Verbots der reformatio in peius geltend: Die Vorinstanz habe trotz Schuldigsprechung wegen eines geringeren statt des angeklagten Delikts eine höhere Strafe ausgefällt, was klar gesetzeswid- rig und mithin krass willkürlich sei. Eine Verschärfung der Sanktion sei eine Ver- letzung des Verschlechterungsverbots und sei vollumfänglich aufzuheben (Urk. 29 S. 2; Prot. II S. 19 f.). Das Verschlechterungsverbot gemäss Art. 391 Abs. 2 StPO gilt für die Rechtsmittelinstanz und nicht für das erstinstanzliche Gericht. Das erstinstanzli- che Gericht ist an den in der Anklage umschriebenen Sachverhalt gebunden (Art. 9 StPO; wobei das Strafbefehls- und das Übertretungsstrafverfahren vorbe- halten bleiben), in seiner rechtlichen Würdigung dieses Sachverhalts jedoch frei (StPO-Landshut, in: Donatsch/Hansjakob/Lieber, 2. Auflage 2014, Art. 391 N 5a). Aufgrund der Anschlussberufung ist vorliegend das Verschlechterungsverbot nur bezüglich der Sanktion zu beachten; auch eine strengere rechtliche Würdi- gung wäre zulässig.</w:t>
      </w:r>
    </w:p>
    <w:p>
      <w:r>
        <w:rPr>
          <w:b/>
        </w:rPr>
        <w:t>E. 3</w:t>
      </w:r>
    </w:p>
    <w:p>
      <w:r>
        <w:t>Die Beschuldigte stellt den Beweisantrag, ihren Sohn als Entlastungs- zeugen einzuvernehmen (Urk. 29 S. 2 und Urk. 37, Prot. II S. 16 f.). Auf diesen Antrag ist an entsprechender Stelle einzugehen.</w:t>
      </w:r>
    </w:p>
    <w:p>
      <w:r>
        <w:rPr>
          <w:b/>
        </w:rPr>
        <w:t>E. 4</w:t>
      </w:r>
    </w:p>
    <w:p>
      <w:r>
        <w:t>Sodann beantragt die Beschuldigte, die Öffentlichkeit sei von der Beru- fungsverhandlung auszuschliessen. Sie brachte vor, es handle sich um eine pri- vate Angelegenheit, es gehe um ihren Sohn und sie. Es bestehe vorliegend kein öffentliches Interesse. Es sei eine Bagatellsache. Betreffend die Kindsverschlep- pung bestehe hingegen ein öffentliches Interesse – auch seitens des Steuerzah- lers. Diesbezüglich werde sie politisch und öffentlich etwas unternehmen (Prot. II S. 6 f.). Die Verhandlungen vor dem Berufungsgericht sind grundsätzlich öffentlich (Art. 69 Abs. 1 StPO). Das Gericht kann gemäss Art. 70 Abs. 1 lit. a StPO die Öf-</w:t>
      </w:r>
    </w:p>
    <w:p>
      <w:r>
        <w:t>- 6 - fentlichkeit ganz oder teilweise von Gerichtsverhandlungen ausschliessen, wenn schutzwürdige Interessen einer beteiligten Person dies erfordert. Das Vorbringen der Beschuldigten, die Privatsphäre ihres Kindes sei zu schützen, vermag den Ausschluss der Öffentlichkeit von vornherein nicht zu be- gründen. Das Kind ist im vorliegend zu beurteilenden Sachverhalt nicht involviert. Gegenstand des Verfahrens bildet ein Brief, der die Beschuldigte dem ehemali- gen Arbeitgeber des Privatklägers geschickt haben soll. Zwar kann sich auch eine beschuldigte Person selbst auf die persönliche Freiheit berufen, um die Öffentlichkeit auszuschliessen. Angesichts der hohen rechtsstaatlichen Bedeutung des Öffentlichkeitsprinzips muss die beschuldigte Person aber gewisse Unannehmlichkeiten in Kauf nehmen. Sie kann nicht allein derentwegen gestützt auf die persönliche Freiheit den Ausschluss der Öffentlich- keit verlangen. Es müssen zusätzlich besondere Gründe vorliegen, die den Aus- schluss der Öffentlichkeit unter dem Gesichtswinkel der persönlichen Freiheit ernstlich erfordern (BGE 119 Ia 99, E.4.b). Die Beschuldigte brachte keine beson- deren Gründe vor, die einen Ausschluss der Öffentlichkeit rechtfertigen würden. Der pauschale Schutz ihrer Privatsphäre und das Vorliegen eines Bagatellfalls genügen hierzu nicht. Zudem bezieht die Beschuldigte gemäss eigenen Angaben die Öffentlichkeit und die Politik in ihre privaten Angelegenheiten mit ein, sodass es eigenartig anmutet, dass sie genau im Verfahren, in welchem sie sich selbst als Beschuldigte vor Gericht verantworten muss, die Öffentlichkeit ausgeschlos- sen wissen möchte. Der Antrag der Beschuldigten auf Ausschluss der Öffentlichkeit wurde des- halb abgewiesen.</w:t>
      </w:r>
    </w:p>
    <w:p>
      <w:r>
        <w:rPr>
          <w:b/>
        </w:rPr>
        <w:t>E. 5</w:t>
      </w:r>
    </w:p>
    <w:p>
      <w:r>
        <w:t>Die Beschuldigte stellt den Antrag, die Staatsanwaltschaft Zürich- Limmat sei aus dem Rubrum zu entfernen, da diese nicht mehr aktiv legitimiert sei. Die Staatsanwaltschaft habe weder gegen den Einspruch noch gegen den Freispruch opponiert (Prot. II S. 7 f.).</w:t>
      </w:r>
    </w:p>
    <w:p>
      <w:r>
        <w:t>- 7 - Gemäss Art. 104 Abs. 1 StPO hat die Staatsanwaltschaft im Haupt- und im Rechtsmittelverfahren Parteistellung. Die Staatsanwaltschaft Zürich-Limmat ist folglich nach wie vor Partei. Zumal im Rubrum sämtliche Parteien sowie ihre Rechtsbeistände aufgeführt sein müssen (Art. 81 Abs. 2 lit. c StPO), ist der An- trag, die Staatsanwaltschaft sei aus dem Rubrum zu entfernen, abzuweisen.</w:t>
      </w:r>
    </w:p>
    <w:p>
      <w:r>
        <w:rPr>
          <w:b/>
        </w:rPr>
        <w:t>E. 6</w:t>
      </w:r>
    </w:p>
    <w:p>
      <w:r>
        <w:t>Da sämtliche Punkte des vorinstanzlichen Urteilsdispositivs angefoch- ten wurden, ist dieses vollumfänglich zu überprüfen.</w:t>
      </w:r>
    </w:p>
    <w:p>
      <w:r>
        <w:rPr>
          <w:b/>
        </w:rPr>
        <w:t>E. 7</w:t>
      </w:r>
    </w:p>
    <w:p>
      <w:r>
        <w:t>Zusammengefasst ist die Beschuldigte demnach der üblen Nachrede im Sinne von Art. 173 Ziff. 1 StGB sowie der Beschimpfung im Sinne von Art. 177 Abs. 1 StGB schuldig zu sprechen.</w:t>
      </w:r>
    </w:p>
    <w:p>
      <w:r>
        <w:rPr>
          <w:b/>
        </w:rPr>
        <w:t>E. 8</w:t>
      </w:r>
    </w:p>
    <w:p>
      <w:r>
        <w:t>Die Einvernahme des Sohnes D._____ vermag an diesem Ergebnis nichts zu ändern. Die Begründung der Beschuldigten, ihr Sohn könnte bestätigen, dass er ins Heim gehen musste, weil der Kindsvater der Mutter kein Geld schi- cken will (Urk. 37, Prot. II S. 17), hat mit dem vorliegenden Verfahren nichts zu</w:t>
      </w:r>
    </w:p>
    <w:p>
      <w:r>
        <w:t>- 12 - tun. Es geht vorliegend nicht um die Frage, ob der Kindsvater die Unterhaltsbei- träge bezahlt oder nicht, sondern darum, ob die Äusserungen der Beschuldigten im Schreiben an den Arbeitgeber des Privatklägers ehrverletzend und strafbar gewesen sind. Der Beweisantrag der Beschuldigten ist somit abzuweisen. III. Strafe 1. Die Vorinstanz hat den Strafrahmen korrekt abgesteckt und die gesetz- lichen Zumessungsregeln wie auch die hier massgeblichen belastenden und ent- lastenden Faktoren zutreffend dargelegt. Es kann vorab auf diese Erwägungen im angefochtenen Entscheid verwiesen werden (Urk. 28 S. 10 ff.). 2. Zu sanktionieren sind vorliegend die üble Nachrede sowie die Be- schimpfung. Das schwerste zu beurteilende Delikt ist die üble Nachrede mit ei- nem Strafrahmen von bis zu 180 Tagessätzen Geldstrafe (Art. 173 Ziff. 1 StGB). Ausserordentliche Umstände, die zum Verlassen des ordentlichen Strafrahmens führen würden, liegen nicht vor. Innerhalb des Strafrahmens ist die Deliktsmehr- heit straferhöhend zu berücksichtigen. Zur objektiven Tatschwere ist festzuhalten, dass die Vorwürfe der Urkunden- fälschung und des mehrfachen Gefängnisaufenthalts so wie auch die Beschimp- fung noch nicht sehr schwer wiegen. Hingegen wurden diese Äusserungen in schriftlicher Form gegenüber dem Arbeitgeber des Privatklägers gemacht, mit dem einzigen Ziel, dem Privatkläger zu schaden. Sie handelte diesbezüglich di- rektvorsätzlich und hätte aufgrund der Schriftform genügend Zeit gehabt, die Formulierung nochmals zu überdenken. Ihre Begründung, es habe sich bei ihren Äusserungen um eine entschuldbare Überreaktion einer verletzten und gedemü- tigten Mutter gehandelt (Urk. 12 S. 2, Prot. I S. 12), vermag deshalb nicht zu überzeugen. Das Verschulden für beide Delikte wiegt insgesamt leicht. Die Ein- satzstrafe für die üble Nachrede ist demnach auf 15 Tagessätze Geldstrafe fest- zusetzen und unter Berücksichtigung des Aperationsprinzips für die Beschimp- fung um 10 Tagessätze auf 25 Tagessätze Geldstrafe zu erhöhen.</w:t>
      </w:r>
    </w:p>
    <w:p>
      <w:r>
        <w:t>- 13 - Wie dies bereits die Vorinstanz festgehalten hat, lassen sich aus dem Vorle- ben und den persönlichen Verhältnissen der Beschuldigten keine strafzumes- sungsrelevanten Kriterien ableiten. Eine besondere Strafempfindlichkeit liegt nicht vor. Die Beschuldigte ist nicht vorbestraft, was sich jedoch ebenso wie die fehlen- de Einsicht und Reue neutral auswirkt. Insgesamt bleibt es demnach bei einer Gesamtstrafe von 25 Tagessätzen Geldstrafe. 3. Die Vorinstanz erachtete ebenfalls eine Strafe von 25 Tagessätzen als angemessen. Sie sprach für diese schuldangemessene Strafe zwei Sanktionen aus, nämlich eine bedingte Geldstrafe von 14 Tagessätzen zu je Fr. 200.– und ei- ne (Verbindungs-)Busse im Umfang von 11 Tagessätzen. Dies entspricht einer Busse in der Höhe von Fr. 2'200.– (Urk. 28 S. 13 f.). Mit einer Verbindungsstrafe bzw. -busse im Sinne von Art. 42 Abs. 4 StGB soll im Rahmen der Massendelinquenz die sogenannte "Schnittstellenproblema- tik" zwischen einer unbedingten Busse für Übertretungen und der bedingten Geldstrafe für Vergehen entschärft werden, indem Art. 42 Abs. 4 StGB eine rechtsgleiche Sanktionierung ermöglicht. Dabei können gemäss bundesgerichtli- cher Rechtsprechung auch general- und spezialpräventive Aspekte eine Rolle spielen (OFK StGB-HUG, 19. Auflage, Art. 42 N 25 mit Verweisungen; insbeson- dere auf BGE 134 IV 8; BGE 134 IV 74 f.). Beim vorliegenden Fall handelt es sich nicht um ein Massendelikt, bei welchem die Schnittstellenproblematik zu berück- sichtigen wäre. Auch unter spezialpräventiven Gesichtspunkten drängt sich die Auferlegung einer zusätzlichen Busse nicht auf. Die Beschuldigte ist Ersttäterin. Auf die Ausfällung einer zusätzlichen (Verbindungs-)Busse ist infolgedessen zu verzichten. Im Übrigen ist festzuhalten, dass grundsätzlich der Anteil der Verbindungs- busse an der gesamten Strafe maximal einen Fünftel betragen darf. Abweichun- gen von dieser Regel sind jedoch im Bereich tiefer Strafen zulässig, um sicherzu- stellen, dass der Verbindungsbusse nicht eine lediglich symbolische Bedeutung zukommt (BGE 135 IV 188 E. 3.4.4; BGE 140 IV 1).</w:t>
      </w:r>
    </w:p>
    <w:p>
      <w:r>
        <w:t>- 14 - 4. Bei der Geldstrafe richtet sich die Höhe des Tagessatzes nach den persönlichen und wirtschaftlichen Verhältnissen des Täters im Zeitpunkt des Ur- teils, namentlich nach Einkommen und – soweit er davon lebt – Vermögen, ferner nach seinem Lebensaufwand, allfälligen Familien- und Unterstützungspflichten und nach dem Existenzminimum (Art. 34 Abs. 2 StGB). Ausgangspunkt für die Tagessatzberechnung ist das Einkommen, welches dem Täter durchschnittlich an einem Tag zufliesst. Dabei bleibt belanglos, aus welcher Quelle dieses Einkom- men stammt. Abzuziehen ist, was gesetzlich geschuldet ist oder dem Täter wirt- schaftlich zufliesst, so etwa die laufenden Steuern und die obligatorischen Versi- cherungsbeiträge. Ausserdem ist das Nettoeinkommen um die Unterhalts- und Unterstützungsbeiträge zu reduzieren, soweit der Verurteilte ihnen tatsächlich nachkommt. Nicht zu berücksichtigen sind Schulden und nach der bundesgericht- lichen Rechtsprechung in der Regel auch die Wohnkosten (BGE 134 IV 68 ff.). Die Beschuldigte verfügt über ein monatliches Einkommen von rund Fr. 9'000.– inklusive Kinderrente (Prot. I S. 6). Sie verfügt über ein Vermögen von rund Fr. 150'000.– (Urk. 39/1 S. 2; Prot. II S. 12). Es erscheint somit angemessen, den Tagessatz auf Fr. 200.– festzusetzen. 5. Die Vorinstanz fasste die Voraussetzungen zur Gewährung des be- dingten Strafvollzuges zutreffend zusammen und stellte fest, dass die objektiven Voraussetzungen hierzu gegeben sind. Darauf kann verwiesen werden (Urk. 28 S. 14 f.). In subjektiver Hinsicht ist zu berücksichtigen, dass die Beschuldigte kei- ne Vorstrafen aufweist und demnach Ersttäterin ist. Jedoch bestehen aufgrund ih- res Verhaltens anlässlich der Berufungsverhandlung gewisse Bedenken in Bezug auf ihre Bewährungsaussichten, ohne dass bereits eine Schlechtprognose gestellt werden könnte. Es ist durchaus möglich, dass die vorliegende erste Verurteilung eine gewisse Wirkung auf die Beschuldigte hat und sie von weiterer Delinquenz absehen wird. Der Vollzug der Geldstrafe ist daher aufzuschieben. Anlässlich der Berufungsverhandlung bekräftigte die Beschuldigte wiederholt ihre deliktischen Äusserungen und zeigte weder Einsicht noch Reue. Dies wirkt sich negativ auf die Prognosebildung aus. Das Berufungsgericht kann gestützt auf diese verschlechterte Prognose, welche dem erstinstanzlichen Gericht nicht be-</w:t>
      </w:r>
    </w:p>
    <w:p>
      <w:r>
        <w:t>- 15 - kannt sein konnte, gemäss Art. 391 Abs. 2 StPO eine strengere Bestrafung an- ordnen, mithin die Probezeit erhöhen, selbst wenn dies grundsätzlich das Verbot der reformatio in peius verbieten würde. Aufgrund der bestehenden Bedenken be- treffend die Bewährung der Beschuldigten ist die Probezeit auf 3 Jahren festzu- setzen. 6. Wie bereits ausgeführt, erachtete auch die Vorinstanz eine Strafe von 25 Tagessätzen als dem Verschulden der Beschuldigten angemessen (vgl. vorne Ziff. III.3.). 7. Zusammenfassend ist die Beschuldigte somit mit einer bedingten Geldstrafe von 25 Tagessätzen zu Fr. 200.–, unter Ansetzung einer Probezeit von zwei Jahren, zu bestrafen. IV.Genugtuung Der Privatkläger beantragte eine Genugtuung in der Höhe von Fr. 10'000.– zuzüglich Zins zu 5 % seit dem 24. August 2013 und führte dazu aus, dass die Beschuldigte auch schon beim vormaligen Arbeitgeber Ähnliches versucht habe. Ihr Verhalten sei so intensiv gewesen, dass der Arbeitgeber dem Privatkläger mit arbeitsrechtlichen Schritten gedroht habe, denn dessen Konzentration sei zu- sammengebrochen und es hätten sich Fehler in seine Arbeit einschleichen kön- nen. Zwei Jahre später passiere nun wieder das Gleiche. Die Höhe der Genugtu- ung sei gerechtfertigt, da der Privatkläger wiederum davor stehe, seinen Job zu verlieren (Prot. I S. 9). Anlässlich der Berufungsverhandlung brachte der Vertreter des Privatklägers vor, die Ehrverletzungen seien besonders intensiv und von er- heblicher Schwere. Zudem hätten die Ehrverletzungen verheerende Konsequen- zen auf das Leben des Privatklägers. Aktuell drohe eine Wiederholung des Vorge- fallenen, da der angeschlagene Ruf des Privatklägers es ihm äusserst schwer mache, seinen Beruf in diesem Umfeld weiter auszuüben (Urk. 49 S. 9). Die Vorinstanz hat die Voraussetzungen für die Leistung einer Genugtuung zutreffend festgehalten, weshalb darauf verwiesen werden kann (Urk. 28 S. 16). Der Privatkläger wurde durch die Äusserungen der Beschuldigten seinem Arbeit-</w:t>
      </w:r>
    </w:p>
    <w:p>
      <w:r>
        <w:t>- 16 - geber gegenüber in seiner Ehre verletzt. Als angemessen erscheint eine Genug- tuung in der Höhe von Fr. 800.– nebst 5 % Zins seit dem 24. August 2013. Im Mehrbetrag ist das Genugtuungsbegehren abzuweisen. V. Kosten 1. Ausgangsgemäss ist das erstinstanzliche Kostendispositiv (Ziffern 7 und 8) zu bestätigen. 2. Die Kosten des Berufungsverfahrens tragen die Parteien nach Mass- gabe ihres Obsiegens oder Unterliegens (Art. 428 Abs. 1 StPO). Die Beschuldigte unterliegt mit ihrer Berufung vollumfänglich. Die Privatklägerschaft unterliegt mit ihrer Anschlussberufung ebenso. Es rechtfertigt sich insgesamt, der Beschuldig- ten die Kosten des Berufungsverfahren zu drei Viertel und zu einem Viertel der Privatklägerschaft aufzuerlegen. 3. Der Privatkläger macht für das gesamte Verfahren eine Prozessent- schädigung in der Höhe von Fr. 5'000.– für die anwaltlichen Aufwendungen gel- tend (Prot. II S. 30). Die Beschuldigte ist sodann zu verpflichten, dem Privatkläger für seine anwaltlichen Aufwendungen für das gesamte Verfahren eine leicht redu- zierte Prozessentschädigung in der Höhe von Fr. 4'000.– (inkl. MwSt) zu bezah- len.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