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SB140198 vom 16. Dezember 2014</w:t>
      </w:r>
    </w:p>
    <w:p>
      <w:r>
        <w:t>ZH Obergericht, 2014-12-16, DE</w:t>
      </w:r>
    </w:p>
    <w:p>
      <w:r>
        <w:rPr>
          <w:b/>
        </w:rPr>
        <w:t xml:space="preserve">Quelle: </w:t>
      </w:r>
      <w:r>
        <w:t>https://mcp.opencaselaw.ch/entscheid/zh_obergericht_SB140198</w:t>
      </w:r>
    </w:p>
    <w:p>
      <w:r>
        <w:t>FR: ZH_OBERGERICHT SB140198 du 16 décembre 2014</w:t>
      </w:r>
    </w:p>
    <w:p>
      <w:r>
        <w:t>IT: ZH_OBERGERICHT SB140198 del 16 dicembre 2014</w:t>
      </w:r>
    </w:p>
    <w:p>
      <w:pPr>
        <w:pStyle w:val="Heading2"/>
      </w:pPr>
      <w:r>
        <w:t>Erwägungen</w:t>
      </w:r>
    </w:p>
    <w:p>
      <w:r>
        <w:rPr>
          <w:b/>
        </w:rPr>
        <w:t>E. 1</w:t>
      </w:r>
    </w:p>
    <w:p>
      <w:r>
        <w:t>Mit Urteil vom 11. Dezember 2013 stellte das Bezirksgericht Zürich, 10. Abteilung, fest, dass der Beschuldigte den Tatbestand der Drohung im Sinne von Art. 180 Abs. 1 StGB im Zustand der nicht selbst verschuldeten Schuldunfä- higkeit erfüllt habe und ordnete für ihn eine ambulante Massnahme im Sinne von Art. 63 StGB an. Für die 520 Tage, die der Beschuldigte in Untersuchung- und Si- cherheitshaft verbracht hatte, wurde ihm eine Genugtuung von Fr. 40'000.– zuge- sprochen; sein Schadenersatzbegehren wurde abgewiesen (Urk. 125). Gegen dieses Urteil meldeten am 16. bzw. 20. Dezember 2013 sowohl die Staatsanwaltschaft wie auch der Beschuldigte Berufung an (Urk. 116 und 118). Mit Eingabe vom 17. April 2014 erklärte die Staatsanwaltschaft, auf eine Beru- fungserklärung verzichten zu wollen (Urk. 124). Demgegenüber liess der Be- schuldigte unterm 5. Mai 2014 eine Berufungserklärung einreichen (Urk. 126). Demnach wurde das Urteil von ihm vollumfänglich angefochten und dazu auf die an der Hauptverhandlung gestellten Anträge verwiesen. Mit Eingabe vom 15. September 2014 liess der Beschuldigte seine Berufungsanträge präzisieren (Urk. 138): Demnach wird ein Freispruch vom Vorwurf der Drohung verlangt, was jegli- che Sanktion ausschliesst. Damit sind die Ziffern 1 und 2 des vorinstanzlichen Ur- teilsdispositivs angefochten. Da der Beschuldigte zudem eine höhere Genugtuung (Fr. 104'200.– anstatt der vorinstanzlich zugesprochenen Fr. 40'000.–) für die er- littene Haft verlangt, gilt auch Ziff. 3 des Urteilsdispositivs als angefochten. Die übrigen Ziffern des Urteils – ausser Ziff. 6 mit dem beanstandeten Vorbehalt der Nachforderung für die Kosten der amtlichen Verteidigung – sind unangefochten geblieben. Da die Staatsanwaltschaft keine Berufungserklärung eingereicht hat, ist in Anwendung von Art. 403 Abs. 1 und 3 StPO auf ihre Berufung nicht einzutreten.</w:t>
      </w:r>
    </w:p>
    <w:p>
      <w:r>
        <w:t>- 5 - Ferner ist festzustellen, dass das Urteil der Vorinstanz hinsichtlich seiner Disposi- tivziffern 4 (Abweisung des Schadenersatzbegehrens des Beschuldigten) und 5 (Kostenaufstellung) in Rechtskraft erwachsen ist.</w:t>
      </w:r>
    </w:p>
    <w:p>
      <w:r>
        <w:rPr>
          <w:b/>
        </w:rPr>
        <w:t>E. 2</w:t>
      </w:r>
    </w:p>
    <w:p>
      <w:r>
        <w:t>Mit der Berufungserklärung vom 5. Mai 2014 stellte der Beschuldigte zahlreiche Beweisanträge (Urk. 126 S. 2). Am 30. Juli 2014 hat er sich damit ein- verstanden erklärt, dass darüber mit dem Endentscheid entschieden werde (Urk. 135). Aufgrund des im Schuldpunkt zu fällenden Entscheides (siehe nach- stehend unter Ziff. II.) erübrigt sich die Abnahme der zugunsten des Beschuldig- ten beantragten Beweisergänzungen.</w:t>
      </w:r>
    </w:p>
    <w:p>
      <w:r>
        <w:rPr>
          <w:b/>
        </w:rPr>
        <w:t>E. 2.3</w:t>
      </w:r>
    </w:p>
    <w:p>
      <w:r>
        <w:t>mit dort angegebenen weiteren Entscheiden). In der Praxis wurden bei einer dreistelligen Anzahl an Hafttagen etwa Ansätze von Fr. 75.– (BGE 113 Ib 155), Fr. 80.– (6B_547/2011) und Fr. 100.– (6B_196/2014) als angemessen angese- hen. Angesichts der der Haft vorangegangenen Lebensumstände des Beschul- digten, aus denen keine aussergewöhnlichen Umstände hervorgehen, erscheint vorliegend ein Ansatz von durchschnittlich Fr. 100.– pro Tag als vertretbar und angemessen. Dem Beschuldigten ist deshalb aus der Staatskasse eine Genugtu-</w:t>
      </w:r>
    </w:p>
    <w:p>
      <w:r>
        <w:t>- 11 - ung für die erlittene Haft von insgesamt Fr. 52'100.– zuzüglich Zins zu 5% seit dem 27. März 2013 auszurichten. Im Mehrbetrag ist die Genugtuungsforderung abzuweisen. IV. Kosten Ausgangsgemäss sind die Kosten der Untersuchung und beider Gerichtsin- stanzen einschliesslich derjenigen der amtlichen Verteidigung auf die Gerichts- kasse zu nehmen. Der Vorbehalt einer späteren Nachforderung beim Beschuldig- ten gemäss Art. 135 Abs. 4 StPO hat zu unterbleiben. Beschluss:</w:t>
      </w:r>
    </w:p>
    <w:p>
      <w:r>
        <w:rPr>
          <w:b/>
        </w:rPr>
        <w:t>E. 3</w:t>
      </w:r>
    </w:p>
    <w:p>
      <w:r>
        <w:t>Die Beweiswürdigung der Vorinstanz vermag nicht zu überzeugen. Be- reits das Aussageverhalten des Beschuldigten erweist sich nicht als von anfäng- lich pauschalen Bestreitungen und schliesslichen Zugeständnissen geprägt, wie dies im angefochtenen Urteil steht (a.a.O. S. 16). Richtig ist einzig, dass der Be- schuldigte konsequent bestritten hat, die Privatklägerin unter Zuhilfenahme von Messern mit dem Tode bedroht zu haben. Bei dieser Aussage blieb er bis zuletzt und machte diesbezüglich keine Zugeständnisse. Auch dass er erstmals in der Hauptverhandlung eingestanden habe, am 5. Juli 2012 ein Messer in der Hand gehalten zu haben, während er dies in der Untersuchung noch bestritten habe – wie es die Vorinstanz darstellte (a.a.O. S. 13) –, stimmt so nicht. Der Beschuldigte hat in der ersten Befragung am 9. Juli 2012 zwar zuerst die Frage verneint, ein Messer, in der Hand gehalten zu haben, als die Privatklägerin bei ihm gewesen sei; er räumte aber sofort ein, dass seine Mutter meistens zu ihm komme, wenn er beim Kochen oder beim Abwaschen sei und es dann möglich sei, dass er ein Messer in der Hand halte (Urk. 7/1, Antwort unter Ziff. 18). Der Beschuldigte be- stritt jedoch zum Schluss, dass er je mit einem Messer auf seine Mutter losge- gangen sei (a.a.O., Antwort unter Ziff. 29). In der Hafteinvernahme vom folgenden Tag wurde dem Beschuldigten der Vorhalt gemacht, er habe seine Mutter am 5. Juli 2012 mit zwei Messern und den Worten "ich werde dich töten" bedroht (Urk. 7/2 S. 2). Dies bestritt der Beschuldig- te, wobei mit Bezug auf den gemachten Vorhalt festgestellt werden muss, dass</w:t>
      </w:r>
    </w:p>
    <w:p>
      <w:r>
        <w:t>- 7 - selbst die Staatsanwaltschaft den Ausspruch "ich werde dich töten" später fallen- gelassen und nicht in die Anklageschrift aufgenommen hat. In der staatsanwalt- schaftlichen Einvernahme vom 26. Juli 2012 wies der Beschuldigte erneut darauf hin, dass er und seine Mutter ein kleineres und ein grösseres Messer in der Kü- che besessen hätten und diese sowohl dort wie auch im Zimmer benützt würden; häufig werde denn auch im Zimmer gegessen, Abwaschen könne er sowohl im Zimmer wie in der Küche. Er räumte weiter ein, dass er die Messer auch anfasse und sie nach dem Abwasch abtrocknen (Urk. 7/3 S. 2). Auch in der Einvernahme vom 30. August 2012 blieb der Beschuldigte dabei, dass er die Privatklägerin we- der mit Worten noch mit Messern in Todesangst versetzt habe. Er räumte jedoch einmal mehr ein, dass er am 5. Juli 2012, als die Privatklägerin nach Hause ge- kommen sei, vielleicht beim Kochen in der Küche Messer in der Hand gehabt ha- be. Er bestritt aber erneut, vor der Privatklägerin mit den Messern hantiert zu ha- ben (Urk. 7/4 S. 6). Von bloss "pauschalen Bestreitungen" des Beschuldigten – wie es die Vorinstanz in ihrem Urteil schreibt – kann folglich nicht die Rede sein. Ebenso wenig kann entgegen der Auffassung der Vorinstanz (Urk. 125 S. 13) von plötzlichen Zugeständnissen des Beschuldigten in der Hauptverhand- lung vom 11. Dezember 2013 gesprochen werden. Dort bestritt er in weitgehen- der Übereinstimmung mit seinen früheren Aussagen, dass er mit den Messern "gespielt" bzw. "hantiert" habe. Er sei am Putzen der Küche gewesen, habe ein Küchentuch auf der Schulter gehabt und sei dabei gewesen, das scharfe Messer sowie das Brotmesser zu trocknen. Dass aber auch beim Abtrocknen von Mes- sern auf eine bestimmte Art hantiert werden müsse, räumte der Beschuldigte sinngemäss ein, er präzisierte jedoch, dass dies anders sei als bei bedrohenden Gesten (Prot. I S. 24). Insgesamt lässt sich vom Aussageverhalten des Beschuldigten somit nicht sagen, dass es "wirr", "kaum nachvollziehbar" und "seltsam" gewesen sei. Viel- mehr sind seine Aussagen im Kern durchaus konstant und recht plausibel, was angesichts seiner psychischen Erkrankung erstaunt. Auch die vorinstanzliche Würdigung der Aussagen der Privatklägerin kann nicht uneingeschränkt übernommen werden. Das Bezirksgericht übersah zwar</w:t>
      </w:r>
    </w:p>
    <w:p>
      <w:r>
        <w:t>- 8 - nicht die "grösseren Widersprüche" (a.a.O. S. 15) zwischen der Aussage der Pri- vatklägerin bei der Polizei und derjenigen bei der Staatsanwaltschaft insbesonde- re mit Bezug darauf, dass bei letzterer von einer verbalen Todesdrohung durch den Beschuldigten nicht mehr die Rede war und auch nicht mehr davon, dass er die Messer regelrecht gegen die Privatklägerin erhoben habe. Die letzte von der Privatklägerin in diesem Verhör zu Protokoll gegebene Version des Kerngesche- hens lautete dahingehend, dass der Beschuldigte sich zur Privatklägerin umge- dreht und dabei je ein Messer in der Hand gehalten habe, die Arme angewinkelt nach oben (Urk. 7/8 S. 8). Von einem Gestikulieren mit den Messern bzw. einem Erheben derselben gegen die Privatklägerin, als wollte der Beschuldigte sie von oben erstechen, was von der Privatklägerin bei der Polizei noch so ausgesagt worden war (Urk. 7/5, Antwort zu Nr. 17), war nun nicht mehr die Rede. Die Vorinstanz hat die Widersprüche in den Aussagen der Privatklägerin damit erklärt, dass diese beim Vorfall in Panik geraten sei und deshalb, in erster Linie ihre Haut retten wollend, dem nur kurz dauernden Geschehensverlauf zu wenig Beachtung geschenkt haben dürfte, um sich nun widerspruchsfrei und prä- zis daran erinnern zu können (vgl. Urk. 125 S. 15). Diese Erklärung ist zwar nach- vollziehbar, beeinträchtigt jedoch auch die Aussagekraft der Schilderungen der Privatklägerin. Was die Verwertung ihrer den Beschuldigten belastenden Aussa- gen angeht, so kann ohnehin nur auf diejenigen abgestellt werden, die sie als Auskunftsperson in dessen Anwesenheit gemacht hat. Demnach sind das Bewe- gen und das Spielen mit den Messern und auch die verbale Todesdrohung nicht erstellt. Diese Beweislücken lassen sich auch nicht mit den vom Beschuldigten bestrittenen und bislang unbewiesen gebliebenen früheren Todesdrohungen des- selben gegenüber der Privatklägerin beheben. Bleibt die Gemütsreaktion der Privatklägerin auf den Vorfall hin, die von ihrer Tochter als Zeugin bestätigt wird: Telefon an die Tochter, Aufsuchen derselben zwecks dortiger Übernachtung, Ausdruck furchtbarer Angst, "aufgelöster" Zu- stand, fortlaufendes Heulen und Weinen, Wunsch zur Polizei zu gehen. Letzteres wurde am Folgetag umgesetzt. Der Vorinstanz ist mit Bezug auf die Beurteilung dieser Zeugenaussage beizupflichten, dass der Privatklägerin am Abend des 5.</w:t>
      </w:r>
    </w:p>
    <w:p>
      <w:r>
        <w:t>- 9 - Juli 2012 bei der Begegnung mit dem Beschuldigten "etwas nicht Unerhebliches" widerfahren sein muss. Allerdings kann damit noch nicht ausgeschlossen werden, dass solches von der Privatklägerin auch ohne bewusstes Zutun des Beschuldig- ten allein aufgrund ihres subjektiven Empfindens in der angetroffenen Situation erlebt worden ist. Dass sie den Beschuldigten an der …strasse aufsuchte, um, anders als in den vorangegangenen fünf Tagen, wieder dort im Zimmer zu nächti- gen, wird für den Beschuldigten nicht nur unangenehm, sondern auch eher über- raschend gewesen sein. Die Rückkehr der Privatklägerin ins gemeinsame Zimmer wird auch sie mit gemischten Gefühlen in Angriff genommen haben. Sie konnte nicht wissen, wir ihr Sohn reagieren würde. Vor ihm hatte sie schon früher Angst. Es wäre denn auch verständlich, wenn sie, als sie ihn mit Messern in der Hand antraf, bereits in Panik geraten wäre. Die Privatklägerin formulierte die ange- troffene Situation denn auch so, dass "etwas" ihr gesagt habe, "gehe weg" und dass sie Angst gehabt habe, dass der Beschuldigte die offene Zimmertüre schliessen und sie dann attackieren werde (Urk. 7/8 S. 8). Die Türe wurde aber nicht geschlossen und zu einer eigentlichen Attacke mit den Messern ist es eben- falls nicht gekommen. Vielmehr hat der Beschuldigte nach Aussage der Privatklä- gerin die Messer auf den Tisch gelegt, als sie ihm sagte, sie gehe jetzt zu den Nachbarn. Insoweit ist der Sachverhalt sicherlich erstellt. Ob die Begegnung zwischen der Privatklägerin und dem Beschuldigten jedoch von letzterem eigens inszeniert worden ist, um die Privatklägerin in Todesangst zu versetzen, ist damit noch nicht gesagt. Der Beschuldigte kann die Messer auch aus den von ihm erklärten Grün- den in Händen gehabt haben. Ein Fuchteln mit ihnen ist – wie dargelegt – ohnehin nicht nachgewiesen.</w:t>
      </w:r>
    </w:p>
    <w:p>
      <w:r>
        <w:rPr>
          <w:b/>
        </w:rPr>
        <w:t>E. 4</w:t>
      </w:r>
    </w:p>
    <w:p>
      <w:r>
        <w:t>Zusammengefasst sind bezogen auf das Kerngeschehen der Anklage weder die Aussagen des Beschuldigen völlig von der Hand zu weisen, noch ver- mögen die Aussagen der Privatklägerin restlos zu überzeugen. Zudem kann sich das Geschehen durchaus so abgespielt haben, dass es sich mit dem unterschied- lichen subjektiven Erleben beider Seiten verträgt. Bei dieser unklaren Beweislage muss sich ein Gericht nicht zwangsläufig auf eine Seite schlagen, wie es die Vo-</w:t>
      </w:r>
    </w:p>
    <w:p>
      <w:r>
        <w:t>- 10 - rinstanz getan hat, sondern hier ist vielmehr angezeigt, im Zweifel von der für den Beschuldigten günstigeren Version auszugehen. Damit aber erweist sich als nicht rechtsgenügend erstellt, dass der Beschuldigte die Privatklägerin absichtlich in Todesangst hat versetzen wollen oder dass er dies zumindest in Kauf genommen hat. Folglich ist der Beschuldigte vom Vorwurf der Drohung freizusprechen. III. Genugtuung für Haft Der Beschuldigte sass seit dem 9. Juli 2012 während 521 Tagen in Untersu- chungs- und Sicherheitshaft. Die Vorinstanz entschädigte ihn für 200 dieser Haft- tage mit je Fr. 200.–, während sie in der restlichen Haftzeit keine Grundlage für eine Genugtuung sah, da damals ernsthaft mit einer freiheitsentziehenden Mass- nahme zu rechnen gewesen und dem Beschuldigten faktisch eine stationäre Be- handlung zugute gekommen sei (Urk. 125 S. 26-28). Diese Auffassung ist nicht haltbar. Der Beschuldigte wird heute mangels rechtsgenügender Erstellung des Anklagesachverhalts freigesprochen und er hat für die gesamte erlittene Haftzeit eine Genugtuung zugut. Die Verteidigung ver- langt denn auch eine Entschädigung von je Fr. 200.– für die insgesamt 521 Tage Haft. Gemäss bundesgerichtlicher Praxis ist bei einer Haftdauer von mehreren Monaten oder Jahren der Tagessatz von in der Regel Fr. 200.– mangels ausser- gewöhnlicher Umstände zu senken, da vor allem die erste Haftzeit besonders er- schwerend ins Gewicht fällt (BGE 113 Ib 155 E. 3b S. 156; Urteil 6B_574/2010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