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SB130384 vom 4. Oktober 2013</w:t>
      </w:r>
    </w:p>
    <w:p>
      <w:r>
        <w:t>ZH Obergericht, 2013-10-04, DE</w:t>
      </w:r>
    </w:p>
    <w:p>
      <w:r>
        <w:rPr>
          <w:b/>
        </w:rPr>
        <w:t xml:space="preserve">Quelle: </w:t>
      </w:r>
      <w:r>
        <w:t>https://mcp.opencaselaw.ch/entscheid/zh_obergericht_SB130384</w:t>
      </w:r>
    </w:p>
    <w:p>
      <w:r>
        <w:t>FR: ZH_OBERGERICHT SB130384 du 4 octobre 2013</w:t>
      </w:r>
    </w:p>
    <w:p>
      <w:r>
        <w:t>IT: ZH_OBERGERICHT SB130384 del 4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1. Juli 2013 meldete der erbetene Verteidiger namens und im Auftrag des Beschuldigten fristgemäss Berufung gegen das Urteil des Bezirksgerichtes Zürich, 10. Abteilung - Einzelgericht, vom 21. Juni 2013 an (Urk. 44), reichte her- nach jedoch keine Berufungserklärung ein.</w:t>
      </w:r>
    </w:p>
    <w:p>
      <w:r>
        <w:rPr>
          <w:b/>
        </w:rPr>
        <w:t>E. 2</w:t>
      </w:r>
    </w:p>
    <w:p>
      <w:r>
        <w:t>Gemäss Art. 399 Abs. 3 StPO hat die Partei, die Berufung angemeldet hat, dem Berufungsgericht innert 20 Tagen seit der Zustellung des begründeten Ur- teils eine Berufungserklärung einzureichen. Vorliegend wurde das begründete Urteil am 30. August 2013 von der Verteidigung entgegengenommen (Urk. 47/2). Die 20-tägige Frist zur Einreichung der Berufungserklärung lief demnach am 19. September 2013 unbenützt ab. Da innert Frist keine Berufungserklärung ein- ging, ist auf die Berufung des Beschuldigten nicht einzutreten (Art. 403 Abs. 1 und Abs. 3 StPO).</w:t>
      </w:r>
    </w:p>
    <w:p>
      <w:r>
        <w:rPr>
          <w:b/>
        </w:rPr>
        <w:t>E. 3</w:t>
      </w:r>
    </w:p>
    <w:p>
      <w:r>
        <w:t>Ausgangsgemäss sind die Kosten des Berufungsverfahrens dem Beschul- digten aufzuerlegen (Art. 428 Abs. 1 StPO, ZR 110 Nr. 37 e contrario). Da keine Aufwendungen ersichtlich sind, welche dem Privatkläger im Zusammenhang mit dem Berufungsverfahren entstanden sein könnten, ist ihm keine Prozessentschä- digung auszurichten.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