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SB130298 vom 19. Dezember 2013</w:t>
      </w:r>
    </w:p>
    <w:p>
      <w:r>
        <w:t>ZH Obergericht, 2013-12-19, DE</w:t>
      </w:r>
    </w:p>
    <w:p>
      <w:r>
        <w:rPr>
          <w:b/>
        </w:rPr>
        <w:t xml:space="preserve">Quelle: </w:t>
      </w:r>
      <w:r>
        <w:t>https://mcp.opencaselaw.ch/entscheid/zh_obergericht_SB130298</w:t>
      </w:r>
    </w:p>
    <w:p>
      <w:r>
        <w:t>FR: ZH_OBERGERICHT SB130298 du 19 décembre 2013</w:t>
      </w:r>
    </w:p>
    <w:p>
      <w:r>
        <w:t>IT: ZH_OBERGERICHT SB130298 del 19 dicembre 2013</w:t>
      </w:r>
    </w:p>
    <w:p>
      <w:pPr>
        <w:pStyle w:val="Heading2"/>
      </w:pPr>
      <w:r>
        <w:t>Erwägungen</w:t>
      </w:r>
    </w:p>
    <w:p>
      <w:r>
        <w:rPr>
          <w:b/>
        </w:rPr>
        <w:t>E. 1</w:t>
      </w:r>
    </w:p>
    <w:p>
      <w:r>
        <w:t>Mit Urteil vom 25. April 2013 sprach die Vorinstanz den Beschuldigten der folgenden Delikte schuldig: - der mehrfachen Freiheitsberaubung im Sinne von Art. 183 Ziffer 1 Abs. 1 StGB, - der mehrfachen Nötigung im Sinne von Art. 181 StGB, teilweise in Verbindung mit Art. 22 Abs. 1StGB, - der mehrfachen Sachbeschädigung im Sinne von Art. 144 Abs. 1 StGB, - der Amtsanmassung im Sinne von Art. 287 StGB, - des Hausfriedensbruchs im Sinne von Art. 186 StGB, - des Vergehens gegen das Waffengesetz im Sinne von Art. 33 Abs. 1 lit. a in Verbindung mit Art. 4 Abs. 1 lit. g WG, und - des Vergehens gegen das Betäubungsmittelgesetz im Sinne von Art. 19 Ziffer 1 Abs. 6 aBetmG. Dafür fällte die Vorinstanz eine Freiheitsstrafe von 30 Monaten aus, wovon 112 Tage durch Haft erstanden waren, und schob deren Vollzug im Umfang von 20 Monaten bei einer Probezeit von 4 Jahren auf. Im Umfang von 10 Monaten sei die Strafe zu vollziehen. Gleichzeitig widerrief die Vorinstanz eine mit Urteil des Einzelrichters in Strafsachen des Bezirkes Zürich vom 5. Juni 2009 bedingt ausgefällte Geldstrafe von 60 Tagessätzen zu Fr. 10.– sowie eine Busse von Fr. 100.– und ordnete eine ambulante Behandlung im Sinne von Art. 63 StGB an. Schliesslich wurde der Beschuldigte verpflichtet, den Privatklägern Schadenersatz und Genugtuung zu bezahlen, und wurden die Kosten der Untersuchung und des gerichtlichen Verfahrens, mit Ausnahme derjenigen der amtlichen Verteidigung, dem Beschuldigten auferlegt. Die Kosten der amtlichen Verteidigung wurden auf die Gerichtskasse genommen. Mit Beschluss gleichen Datums entschied die Vorinstanz sodann über die Verwendung von beschlagnahmtem Bargeld und verschiedenen beschlagnahmten Gegenständen (Urk. 85 S. 25 ff.)</w:t>
      </w:r>
    </w:p>
    <w:p>
      <w:r>
        <w:t>- 3 -</w:t>
      </w:r>
    </w:p>
    <w:p>
      <w:r>
        <w:rPr>
          <w:b/>
        </w:rPr>
        <w:t>E. 2</w:t>
      </w:r>
    </w:p>
    <w:p>
      <w:r>
        <w:t>Gegen dieses mündlich und schriftlich im Dispositiv eröffnete Urteil (Prot. S. 24) meldeten die Staatsanwaltschaft am 25. April 2013 (Urk. 75) und der Beschuldigte am 26. April 2013 (Urk. 76) Berufung an. Nach Zustellung des be- gründeten Urteils (Urk. 83/1-2) reichten beide Parteien fristgerecht am 6. Juli 2013 (Beschuldigter, Urk. 86) bzw. 12. Juli 2013 (Staatsanwaltschaft, Urk. 88) dem Obergericht ihre Berufungserklärungen ein.</w:t>
      </w:r>
    </w:p>
    <w:p>
      <w:r>
        <w:rPr>
          <w:b/>
        </w:rPr>
        <w:t>E. 3</w:t>
      </w:r>
    </w:p>
    <w:p>
      <w:r>
        <w:t>Der Beschuldigte ficht mit seiner Berufung die Bemessung der Strafe, die Regelung deren Vollzugs sowie die Anordnung der ambulanten Massnahme an. Die Staatsanwaltschaft beschränkt ihre Berufung auf die Fragen der Straf- zumessung und des Strafvollzugs.</w:t>
      </w:r>
    </w:p>
    <w:p>
      <w:r>
        <w:rPr>
          <w:b/>
        </w:rPr>
        <w:t>E. 3.1</w:t>
      </w:r>
    </w:p>
    <w:p>
      <w:r>
        <w:t>Angesichts dieser Berufungsanträge sind demnach zunächst einmal die vorinstanzlichen Dispositivziffern 2, 3 und 5 angefochten (Bemessung und Vollzug der Strafe, Anordnung einer ambulanten Massnahme). Zufolge der Konnexität aller Elemente des Strafpunktes ebenfalls Berufungsgegenstand bildet dann aber auch der in Dispositivziffer 4 angeordnete Widerruf der am 5. Juni 2009 ausgefäll- ten Strafe. Dies ergibt sich aus lit. b der abschliessenden Aufzählung in Art. 399 Abs. 4 StPO (vgl. dazu Schmid, StPO Praxiskommentar, 2. Aufl., Art. 399 N 19 f.; ZHK StPO-Hug, Art. 399 N 17 und 20; teilw. a.M. BSK StPO-Eugster, Art. 399 N 6 und 9) und muss im vorliegend relevanten Verhältnis zwischen der Frage des Vollzugs der aktuellen Strafe und dem Widerruf einer Vorstrafe ganz besonders gelten: Nach der Rechtsprechung ist nämlich in die Beurteilung der Bewährungs- aussichten beim Entscheid über den Widerruf des bedingten Strafvollzugs im Rahmen einer Gesamtwürdigung auch miteinzubeziehen, ob die neue Strafe (teil-)bedingt oder unbedingt ausgesprochen wird, und umgekehrt kann der Richter zum Schluss kommen, dass beim Vollzug der früheren Strafe eine Schlechtprognose für die neue Strafe im Sinne von Art. 42 Abs. 1 StGB verneint und diese folglich (teil-)bedingt ausgesprochen werden kann (BGE 134 IV 140 E. 4.5 m.w.H.).</w:t>
      </w:r>
    </w:p>
    <w:p>
      <w:r>
        <w:rPr>
          <w:b/>
        </w:rPr>
        <w:t>E. 3.2</w:t>
      </w:r>
    </w:p>
    <w:p>
      <w:r>
        <w:t>Alle anderen Punkte des vorinstanzlichen Urteils (Dispositivziffern 1 und</w:t>
      </w:r>
    </w:p>
    <w:p>
      <w:r>
        <w:rPr>
          <w:b/>
        </w:rPr>
        <w:t>E. 6</w:t>
      </w:r>
    </w:p>
    <w:p>
      <w:r>
        <w:t>Ausgangsgemäss – die Parteien haben die Rückweisung des Verfahrens nicht zu verantworten – sind die Kosten des Berufungsverfahrens, einschliesslich jener der amtlichen Verteidigung, auf die Gerichtskasse zu nehmen (Art. 428 Abs. 4 StPO).</w:t>
      </w:r>
    </w:p>
    <w:p>
      <w:r>
        <w:rPr>
          <w:b/>
        </w:rPr>
        <w:t>E. 7</w:t>
      </w:r>
    </w:p>
    <w:p>
      <w:r>
        <w:t>Die Entscheidgebühr wird festgesetzt auf: Fr. 3'000.00 ; die weiteren Kosten betragen: Fr. 6'300.00 Auslagen Vorverfahren Fr. 1'490.00 Kosten KAPO Fr. 900.00 Gebühr für die Führung der Strafuntersuchung Fr. 16'286.40 Gutachten Fr. amtliche Verteidigung (ausstehend) Fr. 27'976.40 Total</w:t>
      </w:r>
    </w:p>
    <w:p>
      <w:r>
        <w:rPr>
          <w:b/>
        </w:rPr>
        <w:t>E. 8</w:t>
      </w:r>
    </w:p>
    <w:p>
      <w:r>
        <w:t>Die Kosten der Untersuchung und des gerichtlichen Verfahrens, aus- genommen derjenigen der amtlichen Verteidigung, werden dem Beschuldig- ten auferlegt.</w:t>
      </w:r>
    </w:p>
    <w:p>
      <w:r>
        <w:rPr>
          <w:b/>
        </w:rPr>
        <w:t>E. 9</w:t>
      </w:r>
    </w:p>
    <w:p>
      <w:r>
        <w:t>Die Kosten der amtlichen Verteidigung werden auf die Gerichtskasse genommen.</w:t>
      </w:r>
    </w:p>
    <w:p>
      <w:r>
        <w:rPr>
          <w:b/>
        </w:rPr>
        <w:t>E. 10</w:t>
      </w:r>
    </w:p>
    <w:p>
      <w:r>
        <w:t>(Mitteilungen)</w:t>
      </w:r>
    </w:p>
    <w:p>
      <w:r>
        <w:rPr>
          <w:b/>
        </w:rPr>
        <w:t>E. 11</w:t>
      </w:r>
    </w:p>
    <w:p>
      <w:r>
        <w:t>(Rechtsmittelbelehrung) Es wird sodann beschlossen: 1. Die mit Verfügung der Staatsanwaltschaft Winterthur/Unterland vom 28. Mai 2010 beschlagnahmten Fr. 4'040.– Bargeld werden eingezogen und zur Deckung der Verfahrenskosten verwendet. 2. Die mit Verfügung der Staatsanwaltschaft Winterthur/Unterland vom 20. September 2011 beschlagnahmten Gegenstände: - 1 Aktenkoffer, enthaltend (BM-Lagernummer …) 1 Portion Marihuana à 95 Gramm 1 Portion Marihuana à 528 Gramm 1 Tupperware mit 8 Gramm Marihuana 1 Tupperware mit 16 Gramm Marihuana 1 Minigrip mit ca. 11 Gramm Marihuana 1 Minigrip mit ca. 5 Gramm Marihuana 1 Schachtel mit ca. 12 Gramm Marihuana - Marihuana-Mühle (BM-Lagernummer …)</w:t>
      </w:r>
    </w:p>
    <w:p>
      <w:r>
        <w:t>- 12 - - Drogenwaage (BM-Lagernummer …) - 1 Pistolenattrappe, Beretta, silbrig und - 2 Rollen Klebeband grau werden nach Eintritt der Rechtskraft des vorstehenden Urteils definitiv eingezogen und vernichtet. 3. Die mit Verfügung der Staatsanwaltschaft Winterthur/Unterland vom 20. September 2011 beschlagnahmten Gegenstände: - 1 Kampfmesser „…“ - 1 Kampfmesser, „…“ - 1 Wurfstern - 1 Kampfmesser, Typ unbekannt (grauer Griff) - 1 Salamimesser (orientalisch) - 1 Mobiltelefon Sony Ericsson - 2 Mobiltelefon Sagem - 3 Mobiltelefons Nokia - 1 Mobiltelefon Motorola - 1 Mobiltelefon Sony Ericsson (braun) werden nach Eintritt der Rechtskraft des vorstehenden Urteils auf erstes Verlangen herausgegeben. Wird die Herausgabe nicht innert 30 Tagen nach Eintritt der Rechtskraft bei der Kasse des Bezirksgerichts Dielsdorf verlangt, so wird der beschlagnahmte Gegenstand entsorgt. 4. (Mitteilungen) 5. (Rechtsmittelbelehrung) 2. In den Dispositivziffern 2, 3, 4 und 5 wird das Urteil des Bezirksgerichts Dielsdorf, I. Abteilung, vom 25. April 2013 aufgehoben und im Sinne der Erwägungen zum neuen Entscheid und gehöriger Begründung zurück- gewiesen. 3. Die Kosten des Berufungsverfahrens werden auf die Gerichtskasse ge- nommen (einschliesslich der Kosten von Fr. 1'461.– für die amtliche Ver- teidigung). 4. Schriftliche Mitteilung an − die amtliche Verteidigung im Doppel für sich und zuhanden des Beschuldigten − die Staatsanwaltschaft Winterthur/Unterland</w:t>
      </w:r>
    </w:p>
    <w:p>
      <w:r>
        <w:t>- 13 - − den Privatkläger 1 (C._____) und die Privatklägerin 2 (D._____) je im Auszug hinsichtlich Dispositivziffern 1 und 6 des vorinstanzlichen Urteils − die Kasse der Staatsanwaltschaft Winterthur/Unterland hinsichtlich Dispositivziffer 1 des vorinstanzlichen Beschlusses − die Kantonspolizei Zürich, SA 4-BM hinsichtlich Dispositivziffer 2 des vorinstanzlichen Beschlusses − die Kasse der Vorinstanz hinsichtlich Dispositivziffer 2 und 3 des vorinstanzlichen Beschlusses sowie nach unbenütztem Ablauf der Rechtsmittelfrist resp. Erledigung allfälliger Rechtsmittel an − die Vorinstanz (unter Rücksendung der Akten) 5. Gegen diesen Entscheid kann – unter den einschränkenden Voraus- setzungen von Art. 93 des Bundesgerichtsgesetzes – bundesrechtliche Beschwerde in Strafsachen erhoben werden. Die Beschwerde ist innert 30 Tagen, von der Zustellung der vollständigen, begründeten Ausfertigung an gerechnet, bei der Ersten öffentlich-rechtlichen Abteilung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19. Dezember 2013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