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SB130281 vom 20. Januar 2014</w:t>
      </w:r>
    </w:p>
    <w:p>
      <w:r>
        <w:t>ZH Obergericht, 2014-01-20, DE</w:t>
      </w:r>
    </w:p>
    <w:p>
      <w:r>
        <w:rPr>
          <w:b/>
        </w:rPr>
        <w:t xml:space="preserve">Quelle: </w:t>
      </w:r>
      <w:r>
        <w:t>https://mcp.opencaselaw.ch/entscheid/zh_obergericht_SB130281</w:t>
      </w:r>
    </w:p>
    <w:p>
      <w:r>
        <w:t>FR: ZH_OBERGERICHT SB130281 du 20 janvier 2014</w:t>
      </w:r>
    </w:p>
    <w:p>
      <w:r>
        <w:t>IT: ZH_OBERGERICHT SB130281 del 20 gennaio 2014</w:t>
      </w:r>
    </w:p>
    <w:p>
      <w:pPr>
        <w:pStyle w:val="Heading2"/>
      </w:pPr>
      <w:r>
        <w:t>Erwägungen</w:t>
      </w:r>
    </w:p>
    <w:p>
      <w:r>
        <w:rPr>
          <w:b/>
        </w:rPr>
        <w:t>E. 5</w:t>
      </w:r>
    </w:p>
    <w:p>
      <w:r>
        <w:t>In Würdigung sämtlicher Elemente sowohl der Tat- als auch der Täterkom- ponente ist die von der Vorinstanz ausgefällte Geldstrafe von 10 Tagessätzen zu bestätigen. 6.1. Wie die Vorinstanz richtig festgehalten hat, richtet sich bei der Geldstrafe die Höhe des Tagessatzes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6.2. Die finanziellen Verhältnisse des Beschuldigten wurden von der Vorinstanz erhoben und entsprechend aufgeführt (Urk. 42 S. 15). Anlässlich der heutigen Berufungsverhandlung führte der Beschuldigte aktualisierend aus, dass er inzwischen Schulden in der Höhe von Fr. 120'000.-- habe. 6.3. Die finanziellen Verhältnisse des Beschuldigten sind nach wie vor beschei- den, weshalb ein Tagessatz in der Höhe von Fr. 30.-- als angemessen erscheint.</w:t>
      </w:r>
    </w:p>
    <w:p>
      <w:r>
        <w:rPr>
          <w:b/>
        </w:rPr>
        <w:t>E. 7</w:t>
      </w:r>
    </w:p>
    <w:p>
      <w:r>
        <w:t>In Gesamtwürdigung der strafzumessungsrelevanten Kriterien ist der Beschuldigte mit einer Geldstrafe von 10 Tagessätzen zu Fr. 30.-- zu bestrafen.</w:t>
      </w:r>
    </w:p>
    <w:p>
      <w:r>
        <w:t>- 9 - V. Vollzug Auf die diesbezüglichen Ausführungen der Vorinstanz kann vollumfänglich verwiesen werden (Urk. 42 S. 16; Art. 82 Abs. 4 StPO). Der Vollzug der Geld- strafe von 10 Tagessätzen zu Fr. 30.- ist aufzuschieben und die Probezeit auf zwei Jahre festzusetzen. V. Kosten- und Entschädigungsfolgen 1. Ausgangsgemäss sind die Kosten der Untersuchung und des erstinstanzli- chen Verfahrens dem Beschuldigten aufzuerlegen (Art. 426 Abs. 1 StPO), wes- halb die vorinstanzliche Kostenauflage (Ziff. 7) zu bestätigen ist. 2.1. Die Kosten des Berufungsverfahrens sind auf Fr. 2'500.- zu veranschlagen (Art. 424 Abs. 1 StPO i.V.m. § 16 Abs. 1 und § 14 der Gebührenverordnung des Obergerichts, LS. 211.11.). 2.2. Im Berufungsverfahren unterliegt der Beschuldigte mit seinen Anträgen voll- umfänglich, weshalb ihm die Kosten dieses Verfahren aufzuerlegen sind (Art. 428 Abs. 1 StPO). Es wird beschlossen: 1. Es wird festgestellt, dass das Urteil des Bezirksgerichts Dietikon vom</w:t>
      </w:r>
    </w:p>
    <w:p>
      <w:r>
        <w:rPr>
          <w:b/>
        </w:rPr>
        <w:t>E. 8</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Januar 2014 Der Präsident: Die Gerichtsschreiberin: Dr. F. Bollinger lic. iur. C. Grieder</w:t>
      </w:r>
    </w:p>
    <w:p>
      <w:r>
        <w:t>- 12 -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