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SB130277 vom 22. Oktober 2013</w:t>
      </w:r>
    </w:p>
    <w:p>
      <w:r>
        <w:t>ZH Obergericht, 2013-10-22, DE</w:t>
      </w:r>
    </w:p>
    <w:p>
      <w:r>
        <w:rPr>
          <w:b/>
        </w:rPr>
        <w:t xml:space="preserve">Quelle: </w:t>
      </w:r>
      <w:r>
        <w:t>https://mcp.opencaselaw.ch/entscheid/zh_obergericht_SB130277</w:t>
      </w:r>
    </w:p>
    <w:p>
      <w:r>
        <w:t>FR: ZH_OBERGERICHT SB130277 du 22 octobre 2013</w:t>
      </w:r>
    </w:p>
    <w:p>
      <w:r>
        <w:t>IT: ZH_OBERGERICHT SB130277 del 22 ottobre 2013</w:t>
      </w:r>
    </w:p>
    <w:p>
      <w:pPr>
        <w:pStyle w:val="Heading2"/>
      </w:pPr>
      <w:r>
        <w:t>Erwägungen</w:t>
      </w:r>
    </w:p>
    <w:p>
      <w:r>
        <w:rPr>
          <w:b/>
        </w:rPr>
        <w:t>E. 1</w:t>
      </w:r>
    </w:p>
    <w:p>
      <w:r>
        <w:t>Mit Urteil vom 17. Januar 2013 des Bezirksgerichts Winterthur wurde der Be- schuldigte des banden- und gewerbsmässigen Diebstahls im Sinne von Art. 139 Ziff. 1, 2 und 3 Abs. 1 und 2 StGB, teilweise in Verbindung mit Art. 22 Abs. 1 StGB, der versuchten Vergewaltigung im Sinne von Art. 190 Abs. 1 StGB in Ver- bindung mit Art. 22 Abs. 1 StGB, der einfachen Körperverletzung im Sinne von Art. 123 Ziff. 1 und 2 Abs. 1 und 6 StGB, der Drohung im Sinne von Art. 180 Abs. 1 und 2 lit. b StGB, der mehrfachen Sachbeschädigung im Sinne von Art. 144 Abs. 1 StGB, des mehrfachen Hausfriedensbruchs im Sinne von Art. 186 StGB, des mehrfachen Fahrens ohne Führerausweis im Sinne von Art. 95 Ziff. 1 Abs. 1 SVG in Verbindung mit Art. 10 Abs. 2 SVG, des mehrfachen Vergehens gegen das Waffengesetz (WG) im Sinne von Art. 33 Abs. 1 lit. a WG in Verbin- dung mit Art. 4 Abs. 1 lit. a WG, Art. 12 WG und Art. 8 WG, Art. 15 WV, Art. 4 Abs. 1 lit. d WG, Art. 5 Abs. 1 lit. d WG, Art. 12 WG und Art 8 WG, Art. 4 Abs. 1 lit. f WG, Art. 12 WG und Art. 8 WG, Art. 6 WV der mehrfachen Widerhandlung gegen das Betäubungsmittelgesetz im Sinne von Art. 19 Abs. 1 lit. c und d BetmG sowie der mehrfachen Übertretung von Art. 19a Ziff. 1 Betäubungsmittelgesetz schuldig gesprochen. Freigesprochen wurde er vom Vorwurf der Nötigung im Sin- ne von Art. 181 StGB (HD Anklageziffer II A.2.). Er wurde bestraft mit einer Frei- heitstrafe von 4 ½ Jahren (wovon 422 Tage durch Untersuchungs- und Sicher- heitshaft erstanden sind), sowie mit einer Busse von Fr. 800.--. Dies teilweise als Zusatzstrafe zum Strafbefehl der Staatsanwaltschaft Winterthur / Unterland vom 15. September 2008, zum Urteil des Bezirksgerichts Pfäffikon vom 1. Juli 2009 und zu den drei Strafbefehlen der Staatsanwaltschaft See / Oberland vom 4. No- vember 2010, 25. Juli 2011 und 17. August 2011. Sodann wurde eine ambulante Massnahme im Sinne von Art. 63 StGB während und im Anschluss an den Voll- zug der Freiheitsstrafe angeordnet (Urk. 63).</w:t>
      </w:r>
    </w:p>
    <w:p>
      <w:r>
        <w:t>- 8 -</w:t>
      </w:r>
    </w:p>
    <w:p>
      <w:r>
        <w:rPr>
          <w:b/>
        </w:rPr>
        <w:t>E. 2</w:t>
      </w:r>
    </w:p>
    <w:p>
      <w:r>
        <w:t>Gegen dieses Urteil meldete der Beschuldigte (Urk. 52) rechtzeitig die Beru- fung an. Er beantragt mit seiner Berufung einen Freispruch betreffend Verurtei- lung wegen versuchter Vergewaltigung (Anklagepunkt II.A.3. bzw. Dispositiv-Ziff. 1 Abs. 2) sowie Reduktion des Strafmasses und der Genugtuung an G._____. Eventualiter wird eine angemessene Reduktion der Freiheitsstrafe beantragt (Urk. 65). Da sich die Berufung somit nicht gegen die übrigen Schuldsprüche bzw. den Freispruch richtet, ist vorzumerken, dass dieser Teil des erstinstanzlichen Ur- teils rechtskräftig geworden ist.</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 Schritt den Strafrahmen für die schwerste Straftat zu bestimmen und alsdann die Einsatzstrafe für diese Tat, unter Einbezug aller straferhöhenden und strafmin- dernden Umstände, innerhalb dieses Strafrahmens festzusetzen. In einem zwei- ten Schritt hat er diese Einsatzstrafe unter Einbezug der anderen Straftaten in Anwendung des Asperationsprinzips angemessen zu einer Gesamtstrafe zu er- höhen, wobei er ebenfalls den jeweiligen Umständen Rechnung zu tragen hat (BGE 127 IV 101 E. 2b mit Hinweis; Urteil 6B_460/2010 vom 4. Februar 2011 E. 3.3.4 mit Hinweis, nicht publ. in: BGE 137 IV 57).</w:t>
      </w:r>
    </w:p>
    <w:p>
      <w:r>
        <w:t>- 15 -</w:t>
      </w:r>
    </w:p>
    <w:p>
      <w:r>
        <w:rPr>
          <w:b/>
        </w:rPr>
        <w:t>E. 2.2</w:t>
      </w:r>
    </w:p>
    <w:p>
      <w:r>
        <w:t>Als schwerste Tat gilt grundsätzlich jene, die mit dem schärfsten Strafrahmen bedroht ist, und nicht jene, die nach den konkreten Umständen verschuldensmäs- sig am schwersten wiegt (BSK Strafrecht I- Ackermann, 3. Aufl., Basel 2013, Art. 49 N 116 mit weiteren Hinweisen). Zu berücksichtigen ist insbesondere bei gleichen Höchststrafen auch die Mindeststrafe. Vergewaltigung gemäss Art. 190 StGB und banden- und gewerbsmässiger Diebstahl nach Art. 139 Ziff. 1, 2 und 3 Abs. 1 und 2 StGB weisen beide eine Höchststrafe von 10 Jahren Freiheitsstrafe auf. Da die Mindeststrafe bei der Vergewaltigung ein Jahr beträgt und somit dop- pelt so hoch ist wie jene für banden- und gewerbsmässigen Diebstahl, ist von ers- terem Delikt als schwerste Tat auszugehen. Der Strafrahmen beträgt demnach Freiheitsstrafe von einem bis zehn Jahre. Erschwerende und mildernde Umstän- de des Allgemeinen Teils des Strafgesetzbuches (verminderte Schuldfähigkeit, Versuch), die zu Strafrahmenveränderungen führen, sind für die Bestimmung des Strafrahmens für die schwerste Tat indes nicht zu berücksichtigen (BSK, a.a.O., Art. 49 N 117). 3.1.1. Beim Tatverschulden betreffend die versuchte Vergewaltigung ist in objekti- ver Hinsicht festzuhalten, dass der Beschuldigte nicht sehr gewalttätig vorgegan- gen ist. Er versuchte hauptsächlich, die Beine der Privatklägerin G._____ ausei- nanderzudrücken und setzte dazu seine Hände und seine körperliche Überlegen- heit ein. Die Privatklägerin G._____ vermochte sich denn auch meistens mit ihren Händen zu wehren und konnte sich zudem mit den Beinen freistrampeln. Er- schwerend fällt ins Gewicht, dass der Beschuldigte trotz klarer Willensäusserung während längerer Zeit nicht von der Privatklägerin G._____ abliess, sondern nach zweimaligem Versuch ihr sogar noch nach dem Verlassen des Bettes im Gang nachstellte, sie zu Boden drückte und sie penetrieren wollte. Zu weiteren Gewalt- anwendungen kam es dann aber nicht, ebenso wenig griff er zu anderen Nöti- gungsmitteln, wie z.B. Drohungen oder Schlägen. Er versuchte somit nicht mit letzter Konsequenz sein Ziel zu erreichen. In objektiver Hinsicht erweist sich das Verschulden als noch leicht. 3.1.2. In subjektiver Hinsicht stand seine Triebbefriedigung im Vordergrund, wel- che er ohne Rücksicht auf die Bedürfnisse seiner Partnerin durchsetzen wollte. Es</w:t>
      </w:r>
    </w:p>
    <w:p>
      <w:r>
        <w:t>- 16 - waren somit rein egoistische Motive. Es wäre ihm sodann ohne weiteres möglich gewesen, nach der ersten negativen Willensäusserung der Privatklägerin G._____ von seinem Tun abzulassen. Gemäss psychiatrischem Gutachten vom 30. Juli 2012 von Dr. H._____ ist beim Beschuldigten aus forensisch-psychiatrischen Sicht von einer leichten Beeinträch- tigung seiner Steuerungsfähigkeit auszugehen. Er habe zwar das Verbotene sei- nes Tuns erkennen können. Sein erklärter Wille, seinen Wunsch nach Ge- schlechtsverkehr durchzusetzen, widerspiegle nicht nur den Versuch, sich gegen den Verlust der Partnerin zu erwehren, sondern sich auch einer schwerwiegen- den, als Infragestellung erlebten narzisstischen Kränkung zu erwehren. Das Ver- halten zeige sich als durch das Interesse geprägt, die Wirklichkeit ganz aus einem subjektiven Erleben heraus seinen Vorstellungen anzupassen, statt sie anzuer- kennen, und es zeige sich die Bereitschaft, sich der subjektiven Bedrohung auch aggressiv zu erwehren und in der Durchsetzung seines Willens Selbstbestätigung zu finden (Urk. 7/2 S. 85). Diese Ausführungen sind schlüssig und es ist im Rah- men des subjektiven Tatverschuldens eine leichte Verminderung der Schuldfähig- keit zu berücksichtigen. 3.1.3. Gemäss Art. 22 Abs. 1 StGB kann das Gericht die Strafe bei Versuch mil- dern. Das Ausmass der Strafreduktion hängt dabei von der Nähe des tatbe- standsmässigen Erfolgs und von der Schwere der tatsächlichen Folgen der Tat ab (BSK StGB I-Wiprächtiger/Keller N. 24 zu Art. 48a mit weiteren Hinweisen). Wie bereits erwähnt, liess der Beschuldigte nach einer gewissen Zeit von seinem Vorhaben ab. Die Privatklägerin G._____ erklärte dazu, sie wisse nicht, weshalb er aufgehört habe (Urk. 9/3 S. 14). Damit ist davon auszugehen, dass er wohl teils bedingt durch den Widerstand der Privatklägerin, aber auch teils von sich aus aufgehört hat. Sodann waren die Folgen für die Privatklägerin G._____ im Ver- gleich zu weiteren Vorfällen im Beziehungszusammenhang mit dem Beschuldig- ten nicht derart gravierend. Der Versuch ist deshalb ebenfalls strafmildernd zu be- rücksichtigen.</w:t>
      </w:r>
    </w:p>
    <w:p>
      <w:r>
        <w:t>- 17 - Insgesamt ist deshalb der Strafrahmen zu unterschreiten und die Einsatzstrafe mit</w:t>
      </w:r>
    </w:p>
    <w:p>
      <w:r>
        <w:rPr>
          <w:b/>
        </w:rPr>
        <w:t>E. 3</w:t>
      </w:r>
    </w:p>
    <w:p>
      <w:r>
        <w:t>Die Staatsanwaltschaft sowie die Privatkläger meldeten keine Berufung an und verzichteten auf Anschlussberufung (Urk. 78, Urk. 79/1 und Urk. 79/5). Beweiser- gänzungsanträge wurden keine gestellt.</w:t>
      </w:r>
    </w:p>
    <w:p>
      <w:r>
        <w:rPr>
          <w:b/>
        </w:rPr>
        <w:t>E. 4</w:t>
      </w:r>
    </w:p>
    <w:p>
      <w:r>
        <w:t>Da sich nach Einsicht in den Strafregisterauszug ergeben hat, dass noch die Frage eines Widerrufs einer bedingten Entlassung aus dem Strafvollzug im Rau- me steht, wurde beim Amt für Justizvollzug des Kantons Zürich die entsprechen- de Verfügung vom 28. November 2008 bzw. 5. Dezember 2008 (Urk. 84 und Urk. 84A) eingefordert und dem Verteidiger zur Stellungnahme anlässlich der Be- rufungsverhandlung zugestellt (Urk. 85 und Urk. 86/2). II. Sachverhalt (betreffend Anklageziffer II./ A.3 versuchte Vergewaltigung) 1. Die Staatsanwaltschaft wirft dem Beschuldigten vor, er habe in der Nacht vom 14. auf den 15. November 2011 zwischen 23.00 Uhr und ca. 05.00 Uhr im Schlaf- zimmer des gemeinsamen Domizils in … [Adresse] seine damalige Lebenspartne- rin G._____ insgesamt drei Mal in zeitlich nicht mehr genau eruierbaren Abstän- den versucht, sie zum vaginalen Geschlechtsverkehr zu zwingen. Der Beschuldigte bestreitet den Vorwurf. Er habe zwar zweimal versucht, der Pri- vatklägerin G._____ im Bett die Unterhose herunterzuziehen, um mit ihr Sex zu haben. Er habe beim zweiten Mal erkannt und akzeptiert, dass sie an jenem Abend keinen Sex gewollt habe (Urk. 8/4 S. 31).</w:t>
      </w:r>
    </w:p>
    <w:p>
      <w:r>
        <w:t>- 9 -</w:t>
      </w:r>
    </w:p>
    <w:p>
      <w:r>
        <w:rPr>
          <w:b/>
        </w:rPr>
        <w:t>E. 4.1</w:t>
      </w:r>
    </w:p>
    <w:p>
      <w:r>
        <w:t>Gestützt auf den glaubhaften Angaben der Privatklägerin ist der Sachverhalt der versuchten Vergewaltigung gemäss Anklageziffer II./A.3. mit folgender Aus-</w:t>
      </w:r>
    </w:p>
    <w:p>
      <w:r>
        <w:t>- 12 - nahme erstellt. In der Anklageschrift wird der Vorwurf erhoben, der Beschuldigte habe die Privatklägerin G._____ an den Handgelenken festgehalten, als er ver- sucht habe, mit seinem Penis vaginal in sie einzudringen. Die Privatklägerin hat indessen keine solchen Aussagen getätigt, worauf der amtliche Verteidiger zu Recht hingewiesen hat (Urk. 46/3 S. 4 und Urk. 89 S. 2). Ausdrücklich verneinte sie sodann die Frage, ob der Beschuldigte sie während den insgesamt drei Ver- suchen an den Armen festgehalten habe. Insofern ist der Anklagesachverhalt (Festhalten der Handgelenke) nicht erstellt.</w:t>
      </w:r>
    </w:p>
    <w:p>
      <w:r>
        <w:rPr>
          <w:b/>
        </w:rPr>
        <w:t>E. 4.1.1</w:t>
      </w:r>
    </w:p>
    <w:p>
      <w:r>
        <w:t>Aufgrund der Handlungseinheit ist das Tatverschulden beim banden- und gewerbsmässigen Diebstahl, bei den Sachbeschädigungen und beim Hausfrie- densbruch gemeinsam festzulegen (vgl. BGE 6B_323/2010, Urteil vom 23. Juni 2010, Erw. 3.2.). Bei der objektiven Tatschwere ist der erhebliche Deliktsbetrag von knapp Fr. 100'000.--, der Sachschaden von rund Fr. 14'000.-- und die relativ lange Zeitperiode als verschuldenserhöhendes Element zu berücksichtigen. Ebenso ist die Rolle des Beschuldigten als Rädelsführer zu seinen Ungunsten zu werten. Der Beschuldigte ging geplant vor und suchte sich mehrheitlich mit Bau- stellen und Schrebergärten Objekte aus, wo er ungestört die Delikte begehen konnte. Sein Verschulden wird dadurch etwas relativiert, dass er nicht in bereits als Wohnung genutzte Räumlichkeiten eindrang und dadurch das Sicherheitsge- fühl Dritter beeinträchtigte. Im Rahmen des weiten Strafrahmens ist es als nicht mehr leicht zu bewerten.</w:t>
      </w:r>
    </w:p>
    <w:p>
      <w:r>
        <w:rPr>
          <w:b/>
        </w:rPr>
        <w:t>E. 4.1.2</w:t>
      </w:r>
    </w:p>
    <w:p>
      <w:r>
        <w:t>In subjektiver Hinsicht widerspiegelt das Vorgehen eine erhebliche kriminel- le Energie. Seinem Handeln liegen einzig egoistische Motive zugrunde, beschaff- te er sich mit diesen Diebstählen finanzielle Mittel und Gegenstände, die er sich sonst nicht hätte leisten können. Er handelte dabei keineswegs aus finanzieller Not, sondern diese Taten dienten einzig der Befriedigung seiner Ansprüche, die er andernfalls durch regelmässige Erwerbsarbeit hätte verdienen müssen. Der Gutachter hält diesbezüglich fest, dass die Tathandlungen erwerbsbetont und zielstrebig erscheinen würden. Sie seien gedanklich geplant und die Tatsituation sei durch den Beschuldigten konstelliert. Der Tatablauf habe sich zielgerichtet ge- staltet und sei lange hingezogen gewesen, indem zwischen Tatbereitschaft und Tatbeendigung eine längere Zeit verstrichen sei. Die Tathandlungen hätten auch besondere Anforderungen an Umsicht, an motorischen Koordinationsleistungen und an die Zusammenarbeit mit den Mittätern gestellt. Es gebe keine Hinweise, dass die Introspektionsfähigkeit des Beschuldigten bei der Tat beeinträchtigt ge-</w:t>
      </w:r>
    </w:p>
    <w:p>
      <w:r>
        <w:t>- 20 - wesen sei und auch keine Hinweise darauf, dass seine Erinnerungen nicht detail- reich gewesen wäre. Das Tatgeschehen sei vor, während und nach der Tat zu- stimmend kommentiert worden und ähnliche Handlungsbereitschaften seien in der Lebensgeschichte beobachtbar. Es ergäben sich weder aus den Akten, noch aus den Tatmerkmalen, noch aus den aktuellen Angaben des Beschuldigten Hin- weise, dass der Beschuldigte - bezogen auf den Durchschnitt vergleichbarer Täter - aufgrund der bei ihm diagnostizierten Persönlichkeitsstörung vermindert in der Lage gewesen wäre, um das Verbotene seines Tuns zu wissen und dem Wissen um das Verbotene des Tuns zu folgen (Urk. 7/2 S. 80). Diesen schlüssigen Aus- führungen ist zu folgen und dem Beschuldigten ist für diese Taten eine volle Schuldfähigkeit zu zubilligen. Entgegen der Ansicht des amtlichen Verteidigers (Urk. 46/3 S. 10) bezieht sich die im Gutachten erwähnte leichte Beeinträchtigung der Steuerungsfähigkeit (Urk. 7/2 S. 86) auf die vorerwähnte versuchte Vergewal- tigung. Eine hypothetische Strafe ist bei 24 Monaten anzusetzen.</w:t>
      </w:r>
    </w:p>
    <w:p>
      <w:r>
        <w:rPr>
          <w:b/>
        </w:rPr>
        <w:t>E. 4.1.3</w:t>
      </w:r>
    </w:p>
    <w:p>
      <w:r>
        <w:t>Was die Täterkomponente (vgl. Erw.IV.3.2.2.), angeht, so ergeben sich kei- ne strafzumessungsrelevanten Faktoren. Erheblich straferhöhend sind die ein- schlägigen Vorstrafen zu gewichten. Dazu kommt ein Handeln in der Probezeit der bedingten Entlassung vom 18. Dezember 2008 bis am 18. Dezember 2009 (Delikte ND1 - ND 13), sowie ein Handeln während dreier laufender Strafuntersu- chungen betreffend SVG-Delikten (Strafbefehle vom 4. November 2010 und 25. Juli 2011) und Nötigung (Strafbefehl vom 17. August 2011). Diese damit zum Ausdruck gebrachte Uneinsichtigkeit wirkt sich ebenfalls stark straferhöhend aus. Das vollumfängliche Geständnis als Strafminderungsgrund vermag die Straferhö- hungsgründe nur zur Hälfte zu kompensieren, was zu einer Freiheitsstrafe von rund 32 Monaten führen würde.</w:t>
      </w:r>
    </w:p>
    <w:p>
      <w:r>
        <w:rPr>
          <w:b/>
        </w:rPr>
        <w:t>E. 4.2</w:t>
      </w:r>
    </w:p>
    <w:p>
      <w:r>
        <w:t>Das Tatverschulden betreffend einfache Körperverletzung und Drohung ge- gen die Privatklägerin G._____ ist vor dem komplexen Beziehungshintergrund zu gewichten. Die einfache Körperverletzung zeugt von einem erheblichen Aggressi- onspotential, da der Beschuldigte mehrmals mit der Faust gegen das Gesicht der Privatklägerin schlug und auch nicht von ihr abliess, als sie flüchten wollte und sie</w:t>
      </w:r>
    </w:p>
    <w:p>
      <w:r>
        <w:t>- 21 - in den Schwitzkasten nahm und sie kurzfristig keine Luft bekam. Sie erlitt dadurch eine Hautunterblutung am rechten Auge, Schmerzen am Hals sowie diverse Hautunterblutungen (Urk. HD 6/2 und 6/3). Auch die gegen sie ausgestossenen Todesdrohungen waren derart, dass die Privatklägerin G._____ in panische Angst versetzt wurde. In subjektiver Hinsicht lagen diesen Handlungen nichtige verbale Streitigkeiten zugrunde, die beim Beschuldigten in aggressive Handlungen um- schlugen. Der Gutachter attestiert dem Beschuldigten in dieser Hinsicht eine in ungefähr mittlerem Grade verminderte Schuldfähigkeit, zumal die Tathandlungen in einer krisenhaft zugespitzten Beziehungssituation stattgefunden hätten, die be- stimmt gewesen sei durch den drohenden Verlust der Privatklägerin G._____ und durch seine immer ausgeprägtere Eifersucht (Urk. 7/2 A. 82 ff). Das Tatverschul- den wird dadurch erheblich relativiert und eine Strafe im Bereich von 4 Monaten erschiene angemessen. Unter Berücksichtigung der Täterkomponente (vgl. Erw. IV.3.2.2.) und insbesondere der Vorstrafen, sowie seines Geständnisses, ist diese Strafe hypothetisch auf 6 Monate festzusetzen.</w:t>
      </w:r>
    </w:p>
    <w:p>
      <w:r>
        <w:rPr>
          <w:b/>
        </w:rPr>
        <w:t>E. 4.3</w:t>
      </w:r>
    </w:p>
    <w:p>
      <w:r>
        <w:t>Das Tatverschulden betreffend Handel mit Betäubungsmittel ist sowohl in ob- jektiver wie subjektiver Hinsicht als noch leicht zu bezeichnen. Zwar handelte der Beschuldigte regelmässig über eine längere Zeit von rund 42 Monaten zweimal wöchentlich mit Kokain. Ausgehend von seinen Zugaben (Urk. 63 S. 7) kaufte er in dieser Zeit immerhin rund 330 Gramm Kokaingemisch (2 Gramm/Woche mal 168 Wochen). Nach Abzug des Eigenkonsums von 1.2 Gramm/Woche verbleiben jedoch rund 130 Gramm Kokaingemisch für Abgabe an Dritte (0.8 Gramm/Woche). Es kann indessen wohl nicht von einem eigentlichen Handel ge- sprochen werden. Der Gutachter attestiert dem Beschuldigten diesbezüglich kei- ne verminderte Schulfähigkeit (Urk. HD 7/2 S. 81 f.). Unter Berücksichtigung der Täterkomponente, des Vorlebens (vgl. Erw. IV.3.2.2 und 3.2.3.) und des Nachtat- verhalten (der Beschuldigte zeigte sich geständig) erschiene hier eine Freiheits- strafe im Bereich von 4 Monaten als angemessen.</w:t>
      </w:r>
    </w:p>
    <w:p>
      <w:r>
        <w:rPr>
          <w:b/>
        </w:rPr>
        <w:t>E. 4.4</w:t>
      </w:r>
    </w:p>
    <w:p>
      <w:r>
        <w:t>Das Fahren ohne Führerausweis fällt verschuldensmässig zwar nicht erheb- lich ins Gewicht. Die zwei Fahrten von seinem Wohnort … nach … führten über eine Strecke von rund 20 km. Indessen bestand kein Anlass für den Beschuldig-</w:t>
      </w:r>
    </w:p>
    <w:p>
      <w:r>
        <w:t>- 22 - ten, für diese Strecke das Auto zu benützen. Seinen Aussagen gemäss hat er bei der ersten Fahrt den Zug verpasst und deswegen das Fahrzeug benützt. Die zweite Fahrt diente der Überwachung der Privatklägerin G._____, die ihn offenbar verlassen hatte. Somit bestand für den Beschuldigten kein zwingender Grund für die Fahrten mit dem Fahrzeug. Sein geringes Normenbewusstsein kommt hier klar zum Ausdruck, nachdem er nach der ersten Kontrolle knapp zwei Wochen später wieder für das gleiche Delikt erwischt wurde. Das psychiatrische Gutachten führt dazu aus, dass dieses Delikt erkennen lasse, in wie hohem Masse der Beschuldigte das Augenblickprinzip und der subjektiven Bequemlichkeit folge, nicht zuletzt aber auch, wie wenig er aus früheren Sanktio- nen gelernt habe und wie wenig er ihre Bedeutung auch im Hinblick auf die eige- ne Normorientierung gewichte. Im Übrigen lasse sich das momentane Bedürfnis, Auto zu fahren, zwar als handlungsmotivierend, nicht aber als freiheitseinschrän- kend erkennen (Urk. 7/2 S. 81). Diesen überzeugenden Ausführungen ist zu fol- gen und es ist von einer uneingeschränkten Schuldfähigkeit auszugehen. Eine Einsatzstrafe von 2 Monaten erscheint angemessen. Für die Strafzumessung wesentlich ist der Umstand zu gewichten, dass der Be- schuldigte in den letzten 10 Jahren bereits sechs einschlägige Verurteilungen, von denen sich zwei aber wie bereits erwähnt auf dasselbe Delikt beziehen, auf- weist (Urk. 83). Damit ist die Strafe deutlich zu erhöhen. Sein Geständnis ist nur unwesentlich zu seinen Gunsten zu gewichten, da er auf frischer Tat ertappt wur- de. Zugleich lässt die Renitenz des Beschuldigten keine andere Strafe mehr zu als eine Freiheitsstrafe, da die bisherigen Geldstrafen bzw. gemeinnützige Arbeit sich als wirkungslos erwiesen haben (BSK Strafrecht I-Dolge, 3. Auflage 2013, Art. 34 N 25). Die Strafe wäre deshalb vorliegend auf 4 Monate festzusetzen.</w:t>
      </w:r>
    </w:p>
    <w:p>
      <w:r>
        <w:rPr>
          <w:b/>
        </w:rPr>
        <w:t>E. 4.5</w:t>
      </w:r>
    </w:p>
    <w:p>
      <w:r>
        <w:t>Die mehrfache Widerhandlung gegen das Waffengesetz fällt verschuldens- mässig nicht ins Gewicht. Der Gutachter führt den Verstoss auf die - bereits an- dernorts festgestellte - Gleichgültigkeit gegenüber gesetzlichen Vorschriften zu- rück (Urk. 7/2 S. 81). Für sich alleine beurteilt wäre hier eine Geldstrafe im Be- reich von 30 Tagessätzen angemessen. Vor dem Hintergrund, dass sich der Be-</w:t>
      </w:r>
    </w:p>
    <w:p>
      <w:r>
        <w:t>- 23 - schuldigte bisher von Geldstrafen wenig beeindruckt zeigte und nicht vom Delin- quieren abliess, ist auch vorliegend eine Freiheitsstrafe angebracht. 5.1. Wie bereits erwähnt, ist die Einsatzstrafe (für die versuchte Vergewaltigung) unter Einbezug der anderen Straftaten in Anwendung des Asperationsprinzips in einer Gesamtwürdigung angemessen zu einer Gesamtstrafe zu erhöhen, wobei ebenfalls den jeweiligen Umständen Rechnung zu tragen ist (BGE 6B_323/2010 vom 23. Juni 2010 Erw. 3.2.; BGE 118 IV 119 E. 2b; 127 IV 101 E. 2c.; Acker- mann, a.a.O., Art. 49 N 49). Zu beachten ist dabei das Verhältnis der einzelnen Taten untereinander, ihr Zusammenhang, ihre grössere oder geringere Selbstän- digkeit sowie die Gleichheit oder Verschiedenheit der verletzten Rechtsgüter und Begehungsweisen. Der Gesamtschuldbeitrag des einzelnen Delikts wird dabei ge- ringer zu veranschlagen sein, wenn die Delikte zeitlich, sachlich oder situativ in einem engen Zusammenhang stehen (BGer 6B_323/2010, Urteil vom 23. Juni 2010). 5.2. Auszugehen ist von der Einsatzstrafe für versuchte Vergewaltigung von 8 Monaten. Zu berücksichtigen ist sodann der Umstand, dass die unter Anklagezif- fer II.A. erfassten Delikte der einfachen Körperverletzung und Drohung zwar ei- genständig sind, aber insofern einen Zusammenhang aufweisen, als sie gegen die Privatklägerin G._____ gerichtet sind. Die am Stärksten ins Gewicht fallende Deliktsgruppe (banden- und gewerbsmässiger Diebstahl) steht als selbständiges Verschuldenselement da. Die weiteren Delikte weisen keinen näheren Zusam- menhang auf, sind indessen im Gesamtkontext betrachtet verschuldensanteilig als geringfügig zu werten. Zu beachten ist sodann, dass bei der Einzelbewertung der verschiedenen Delikte in unterschiedlichem Umfang die zahlreichen Vorstra- fen berücksichtigt worden sind. Diesem Umstand ist bei der Asperation besonders Rechnung zu tragen, um eine Doppelverwertung zu vermeiden. Insgesamt erweist sich in Anwendung des Asperationsprinzips eine Freiheitsstra- fe von 45 Monaten als gerechtfertigt.</w:t>
      </w:r>
    </w:p>
    <w:p>
      <w:r>
        <w:t>- 24 - 5.3. Die für den Betäubungsmittelkonsum ausgefällte Busse von Fr. 800.-- er- scheint angesichts der konsumierten Menge und der doch erheblichen Zeitdauer angemessen.</w:t>
      </w:r>
    </w:p>
    <w:p>
      <w:r>
        <w:rPr>
          <w:b/>
        </w:rPr>
        <w:t>E. 6</w:t>
      </w:r>
    </w:p>
    <w:p>
      <w:r>
        <w:t>Gemäss Verfügung des Amtes für Justizvollzug des Kantons Zürich vom 28. November 2008 bzw. der Verfügung vom 5. Dezember 2008 wurde der Be- schuldigte per 18. Dezember 2008 bedingt aus dem Strafvollzug entlassen. Die Probezeit wurde auf ein Jahr festgesetzt und dauerte bis zum 17. Dezember 2009. Der Strafrest beträgt 243 Tage (Urk. 84). Der Beschuldigte delinquierte zwi- schen dem 29. und dem 31. August 2009 (ND 1 und 2) sowie zwischen dem</w:t>
      </w:r>
    </w:p>
    <w:p>
      <w:r>
        <w:rPr>
          <w:b/>
        </w:rPr>
        <w:t>E. 9</w:t>
      </w:r>
    </w:p>
    <w:p>
      <w:r>
        <w:t>und dem 16. September 2009 (ND 3 - 13), mithin innerhalb der Probezeit der bedingten Entlassung. Da aber seit Ablauf der Probezeit bereits über drei Jahre vergangen sind, kann keine Rückversetzung mehr angeordnet werden (Art. 89 Abs. 4 StGB). 7. Der Beschuldigte ist somit mit einer Freiheitsstrafe von 3 ¾ Jahren sowie mit einer Busse von Fr. 800.– zu bestrafen. Die Ersatzfreiheitsstrafe für den Fall der schuldhaften Nichtbezahlung der Busse ist auf 8 Tage anzusetzen. Im Einklang mit dem Urteil der Vorinstanz, auf deren entsprechende Erwägungen verwiesen werden kann (Urk. 63 S. 27 f.), ist der Vollzug der Freiheitsstrafe nicht zugunsten der bereits rechtskräftigen ambulanten Massnahme aufzuschieben. An die Strafe sind 698 Tage Untersuchungs- und Sicherheitshaft anzurechnen. Im Übrigen ist noch darauf hinzuweisen, dass entgegen der Vorinstanz wegen Ungleichartigkeit der Strafen keine Zusatzstrafen zum Strafbefehl der Staatsan- waltschaft Winterthur / Unterland vom 15. September 2008, zum Urteil des Be- zirksgerichts Pfäffikon vom 1. Juli 2009 und zu den drei Strafbefehlen der Staats- anwaltschaft See / Oberland vom 4. November 2010, 25. Juli 2011 und 17. Au- gust 2011, auszufällen sind (BGE 137 IV 58). V. Genugtuung Die Vorinstanz sprach der Privatklägerin eine Genugtuung von Fr. 5'000.-- zu. Sie hat die Voraussetzungen für die Zusprechung einer Genugtuung zutreffend dar-</w:t>
      </w:r>
    </w:p>
    <w:p>
      <w:r>
        <w:t>- 25 - gestellt (Urk. 63 S. 32 f.). Angesichts des Verschuldens des Beschuldigten, der Dauer und Intensität der von der Privatklägerin erlittenen Unbill und der damit für sie verbundenen psychischen Auswirkungen solcher Gewalttaten erweist sich vor- liegend nun eine Genugtuung von Fr. 3'000.– als angemessen. Im Mehrbetrag ist die Genugtuungsforderung abzuweisen. VI. Kosten- und Entschädigungsfolgen 1. Ausgangsgemäss ist das erstinstanzliche Kosten- und Entschädigungsdisposi- tiv (Ziff. 8 und 9) zu bestätigen. 2. Im Berufungsverfahren tragen die Parteien die Kosten nach Massgabe ihres Obsiegens oder Unterliegens (Art. 428 Abs. 1 StPO). Der Beschuldigte unterliegt mit seinen Anträgen weitgehend. Ausgangsgemäss sind dem Beschuldigten somit die Kosten des Berufungsverfahrens, mit Ausnahme derjenigen der amtlichen Verteidigung und der unentgeltlichen Rechtsvertretung der Privatklägerin G._____, zu vier Fünfteln aufzuerlegen. Zu einem Fünftel sind sie auf die Ge- richtskasse zu nehmen. Die Kosten der amtlichen Verteidigung sind gestützt auf Art. 426 Abs. 1 StPO auf die Gerichtskasse zu nehmen; entsprechend ist der amtliche Verteidiger, Rechts- anwalt lic.iur. X._____, mit Fr. 4'968.– (inkl. 8% MwSt.) aus der Gerichtskasse zu entschädigen und der Beschuldigte zu verpflichten, diese Entschädigung im Um- fang von vier Fünfteln an den Staat zurückzuzahlen, sobald es seine wirtschaftli- chen Verhältnisse erlauben (vgl. Art. 135 Abs. 4 StPO). Rechtsanwältin Dr. Y._____ ist für die unentgeltliche Rechtsvertretung der Privatklägerin G._____ mit Fr. 648.– (inkl. 8%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