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SB130271 vom 16. Dezember 2013</w:t>
      </w:r>
    </w:p>
    <w:p>
      <w:r>
        <w:t>ZH Obergericht, 2013-12-16, DE</w:t>
      </w:r>
    </w:p>
    <w:p>
      <w:r>
        <w:rPr>
          <w:b/>
        </w:rPr>
        <w:t xml:space="preserve">Quelle: </w:t>
      </w:r>
      <w:r>
        <w:t>https://mcp.opencaselaw.ch/entscheid/zh_obergericht_SB130271</w:t>
      </w:r>
    </w:p>
    <w:p>
      <w:r>
        <w:t>FR: ZH_OBERGERICHT SB130271 du 16 décembre 2013</w:t>
      </w:r>
    </w:p>
    <w:p>
      <w:r>
        <w:t>IT: ZH_OBERGERICHT SB130271 del 16 dicembre 2013</w:t>
      </w:r>
    </w:p>
    <w:p>
      <w:pPr>
        <w:pStyle w:val="Heading2"/>
      </w:pPr>
      <w:r>
        <w:t>Erwägungen</w:t>
      </w:r>
    </w:p>
    <w:p>
      <w:r>
        <w:rPr>
          <w:b/>
        </w:rPr>
        <w:t>E. 1</w:t>
      </w:r>
    </w:p>
    <w:p>
      <w:r>
        <w:t>Nachdem der angefochtene erstinstanzliche Entscheid am 21. November 2012 ergangen ist, gelten die Bestimmungen der schweizerischen Strafprozess- ordnung (Art. 448 und Art. 454 Abs. 1 StPO).</w:t>
      </w:r>
    </w:p>
    <w:p>
      <w:r>
        <w:rPr>
          <w:b/>
        </w:rPr>
        <w:t>E. 1.1</w:t>
      </w:r>
    </w:p>
    <w:p>
      <w:r>
        <w:t>Dem Beschuldigten wird in der Anklageschrift der Anklagebehörde vom 17. September 2012 zusammengefasst vorgeworfen, in der Zeit zwischen dem 15. November 2010 und dem 15. August 2011 die Privatklägerin B._____, seine damalige Lebenspartnerin, verbal und mittels diverser Messer mehrfach mit dem Tod bedroht sowie ihr Faustschläge und Fusstritte versetzt zu haben (Urk. 21). In Ziffer I.2. wird der Tatzeitraum fälschlicherweise mit "zwischen dem 15. und 30. November 2011" (recte: 2010) umschrieben, wobei es sich um einen offen- sichtlichen Verschrieb handelt, welcher der Verteidigung (Urk. 47 S. 2) und der Vorinstanz (zumindest zwischenzeitlich; Urk. 61 S. 58) nicht entgangen ist.</w:t>
      </w:r>
    </w:p>
    <w:p>
      <w:r>
        <w:rPr>
          <w:b/>
        </w:rPr>
        <w:t>E. 1.2</w:t>
      </w:r>
    </w:p>
    <w:p>
      <w:r>
        <w:t>Der Beschuldigte hat die Vorwürfe an der Berufungsverhandlung wie bereits im gesamten bisherigen Verfahren grundsätzlich bestritten (Urk. 3/5; Urk. 45 S. 5; Urk. 82 S. 6).</w:t>
      </w:r>
    </w:p>
    <w:p>
      <w:r>
        <w:rPr>
          <w:b/>
        </w:rPr>
        <w:t>E. 1.3</w:t>
      </w:r>
    </w:p>
    <w:p>
      <w:r>
        <w:t>Die Tatvorwürfe basieren namentlich auf den belastenden Aussagen der Privatklägerin. Als weitere Beweismittel liegen – nebst den Aussagen des Beschuldigten – ein über den Beschuldigten erstelltes psychiatrisches Gutachten (Urk. 13/5), die Privatklägerin betreffende Arztberichte (Urk. 42/1-2) sowie die Aussagen einer Freundin der Privatklägerin und diejenigen des Leiters des vom Beschuldigten und der Privatklägerin bewohnten Asyl-Durchgangszentrums vor (Urk. 5/1-3 und Urk. 5/5).</w:t>
      </w:r>
    </w:p>
    <w:p>
      <w:r>
        <w:rPr>
          <w:b/>
        </w:rPr>
        <w:t>E. 1.4</w:t>
      </w:r>
    </w:p>
    <w:p>
      <w:r>
        <w:t>Zu den Grundsätzen der richterlichen Beweiswürdigung ist auf die ent- sprechenden Erwägungen der Vorinstanz zu verweisen (Urk. 61 S. 5-9; Art. 82 Abs. 4 StPO; zur Aussagenanalyse vgl. Urteil des Bundesgerichts 6B_793/2010 vom 14. April 2011 E. 1.3.1. mit zahlreichen Verweisen).</w:t>
      </w:r>
    </w:p>
    <w:p>
      <w:r>
        <w:t>- 7 -</w:t>
      </w:r>
    </w:p>
    <w:p>
      <w:r>
        <w:rPr>
          <w:b/>
        </w:rPr>
        <w:t>E. 2</w:t>
      </w:r>
    </w:p>
    <w:p>
      <w:r>
        <w:t>Mit dem eingangs im Dispositiv wiedergegebenen Urteil der Vorinstanz vom 21. November 2012 wurde der Beschuldigte A._____ anklagegemäss der mehr- fachen Drohung, der einfachen Körperverletzung sowie der mehrfachen Tätlich- keiten schuldig gesprochen und mit einer Freiheitsstrafe von 9 Monaten sowie ei- ner Busse von Fr. 300.– bestraft, wobei ihm für die Freiheitsstrafe der bedingte Strafvollzug gewährt wurde. Betreffend eine bedingt aufgeschobene Geldstrafe wurde die Probezeit verlängert (Urk. 61 S. 95). Gegen diesen Ent- scheid liess der Beschuldigte durch seinen amtlichen Verteidiger mit Eingabe vom 30. November 2012 innert gesetzlicher Frist Berufung anmelden (Art. 399 Abs. 1 StPO; Urk. 52). Die Berufungserklärung der Verteidigung vom 12. Juli 2013 ging ebenfalls innert gesetzlicher Frist bei der Berufungsinstanz ein (Art. 399 Abs. 3 StPO; Urk. 64), nachdem das begründete Urteil am 25. Juni 2013 zugestellt wur- de (Urk. 60). Die Anklagebehörde hat mit Eingabe vom 8. August 2013 innert Frist mitgeteilt, auf Anschlussberufung zu verzichten (Urk. 71; Art. 400 Abs. 2f. und Art. 401 StPO).</w:t>
      </w:r>
    </w:p>
    <w:p>
      <w:r>
        <w:rPr>
          <w:b/>
        </w:rPr>
        <w:t>E. 2.1</w:t>
      </w:r>
    </w:p>
    <w:p>
      <w:r>
        <w:t>Zur Tatkomponente der mehrfachen Drohung und dort zur objektiven Tat- schwere hat die Vorinstanz erwogen, dass der Beschuldigte durch den mehr- fachen Messereinsatz – auch nahe an ihrem Hals – die Privatklägerin erheblich drangsaliert (sinngemäss) und sie zudem einer enormen psychischen Belastung ausgesetzt habe (Urk. 61 S. 74f.). Dies ist zutreffend. Wer einem Menschen mehrfach ein Messer an den Hals oder drohend vor den Körper hält, demonstriert damit eine beträchtliche kriminelle Energie. Indem der Beschuldigte der Privat- klägerin den Tod androhte, hat er gegen sie die schlimmst-mögliche Drohung ausgesprochen, was gemäss der vorstehenden rechtlichen Würdigung dahin- gehend relativiert wird, dass ausser in drei Fällen der angestrebte Erfolg nicht eingetreten und es beim Versuch geblieben ist. Die Erwägung der Vorinstanz, der Beschuldigte habe das geschützte Rechtsgut der Privatklägerin der freien Willensbildung und Willensbetätigung verletzt, trifft nicht zu: Die genannten Rechtsgüter werden durch den Tatbestand der Nötigung gemäss Art. 181 StGB geschützt (DELNON/RÜDY, a.a.O., Art. 181 N 5), dessen Erfüllung dem Beschuldigten zurecht nicht vorgeworfen wird. Der Beschuldigte</w:t>
      </w:r>
    </w:p>
    <w:p>
      <w:r>
        <w:t>- 16 - hat hingegen sehr wohl das Rechtsgut der inneren Freiheit der Privatklägerin und ihr Sicherheitsgefühl (DELNON/RÜDY, a.a.O., Art. 180 N 5) – und dies in erhebli- cher Weise – tangiert.</w:t>
      </w:r>
    </w:p>
    <w:p>
      <w:r>
        <w:rPr>
          <w:b/>
        </w:rPr>
        <w:t>E. 2.2</w:t>
      </w:r>
    </w:p>
    <w:p>
      <w:r>
        <w:t>Zur subjektiven Tatschwere hat die Vorinstanz zutreffend dem Beschuldig- ten gestützt auf das über ihn erstellte psychiatrische Gutachten für den Tatzeit- raum eine mittelgradige Verminderung der Schuldfähigkeit zugestanden (Urk. 61 S. 75-77 mit Verweis auf Urk. 13/5 S. 41f. und S. 47). Für das Motiv des Beschul- digten hat die Vorinstanz keine plausible Erklärung gefunden. Dieses wird wohl in einer allgemeinen Überforderung in der Partnerschaft mit der Privatklägerin, akzentuiert durch seinen Alkoholabusus und mit der Geburt des Kindes noch ver- stärkt, zu suchen sein. Mit der Vorinstanz – und auch gemäss Anklagevorwurf – handelte der Beschuldigte eventualvorsätzlich, d.h. er nahm ein schweres Verängstigen der Privatklägerin wohl in Kauf, dies war jedoch nicht zwingend das direkte Ziel seiner Taten. Ein direkter Vorsatz liegt nicht vor.</w:t>
      </w:r>
    </w:p>
    <w:p>
      <w:r>
        <w:rPr>
          <w:b/>
        </w:rPr>
        <w:t>E. 2.3</w:t>
      </w:r>
    </w:p>
    <w:p>
      <w:r>
        <w:t>Die Vorinstanz hat nach der Beurteilung der Tatkomponente und namentlich unter Berücksichtigung der Verminderung seiner Schuldfähigkeit dem Beschuldig- ten ein gerade noch leichtes Verschulden attestiert, was zu übernehmen ist. Als hypothetische Einsatzstrafe für die Drohungen hat sie 8 Monate Freiheitsstrafe oder 240 Tagessätze Geldstrafe bemessen (Urk. 61 S. 78). Ein "gerade noch leichtes" Verschulden verlangt praxisgemäss nach einer Strafe am oberen Ende des unteren Drittels des anwendbaren Strafrahmens (vgl. WIPRÄCHTIGER/KELLER in: BSK Strafrecht I, 3. Aufl., Basel 2013, Art. 47 N 19 mit Verweis auf die Ent- scheide des Bundesgerichts 6S.644/2001 und 6S.39/2002). Die Einsatzstrafe ist daher etwas höher, nämlich bei rund 10 bis 12 Monaten Freiheitsstrafe oder 300 bis 360 Tagessätzen Geldstrafe anzusetzen.</w:t>
      </w:r>
    </w:p>
    <w:p>
      <w:r>
        <w:rPr>
          <w:b/>
        </w:rPr>
        <w:t>E. 2.4</w:t>
      </w:r>
    </w:p>
    <w:p>
      <w:r>
        <w:t>Der Beweiswürdigung der Vorinstanz ist weitgehend zu folgen: Unbestritten und durch die vorliegenden Beweismittel erstellt ist, dass der Beschuldigte und die Privatklägerin in den inkriminierten Zeiträumen gravierende partnerschaftliche Probleme hatten, die jeweils in Streitereien ausarteten und für welche in nicht unerheblichem Masse der Alkoholabusus des Beschuldigten kausal war. Zentral ist, dass der Beschuldigte nach konstantem Bestreiten in der Untersuchung anlässlich der Hauptverhandlung – und auch heute in der Berufungsverhandlung – zugegeben hat, gegenüber der Privatklägerin verbal geäussert zu haben, sie umzubringen (Urk. 45 S. 8; Urk. 82 S. 7). Damit hat er betreffend einen wesentlichen Teil der Sachdarstellung der Privatklägerin eigent- lich ein Geständnis abgelegt. Angesichts dieses Eingeständnisses fällt die Argumentation, die Privatklägerin habe sich sämtliche gegen den Beschuldigten erhobenen Vorwürfe im Sinne eines Konstrukts frei zusammengereimt, in sich zusammen. An dieser Stelle greift folglich zum äusseren Sachverhalt ohne Weite- res die überzeugende Erwägung der Vorinstanz, wonach die Privatklägerin die Todesdrohungen des Beschuldigten, verbal ausgestossen und mehrmals mit dem Einsatz diverser Messer unterstrichen, sowie die tätlichen Übergriffe detailliert und nachvollziehbar geschildert habe, weshalb sie erlebt und damit glaubhaft wirken (vgl. Urk. 4/2, Urk. 4/5 und Urk. 4/10). Die Einwände der Verteidigung, dass die</w:t>
      </w:r>
    </w:p>
    <w:p>
      <w:r>
        <w:t>- 11 - Zeugen G._____ und H._____ keine Übergriffe des Beschuldigten mit eigenen Augen gesehen hätten, dass bei der Privatklägerin keine Blessuren bemerkt worden seien und dass es sich bei G._____ um eine Freundin der Privatklägerin und somit nicht um eine vollständig unabhängige Zeugin handle, sind zwar zutref- fend, vermögen jedoch die grundsätzlich überzeugenden Schilderungen der Pri- vatklägerin nicht in Zweifel zu ziehen. Anzeichen für einen eigentlichen Komplott zwischen der Privatklägerin und der Zeugin G._____ sind denn auch nicht aus- zumachen. Der Umstand, dass die Privatklägerin gegenüber dem Zeugen H._____ wohl Streit und Alkoholismus des Beschuldigten, jedoch keine verbale oder physische Gewalt erwähnt hat, ist wohl darauf zurückzuführen, dass sie zu diesem Zeitpunkt den Beschuldigten nicht unnötig belasten, sondern eher noch schonen wollte. Denkbar sind auch Verständigungsschwierigkeiten zwischen der Privatklägerin und dem Zeugen. Somit ist der äussere Anklagesachverhalt mit dem Beweisresultat der Vorinstanz dahingehend erstellt, dass der Beschuldigte die Privatklägerin mehrfach verbal mit dem Tod bedroht hat (Anklageziffer I.1.), diese Drohungen zweimal durch Vorhalten eines Messers unterstrichen hat (Anklageziffer I.2. und 3.), er die Privatklägerin einmal (ohne zusätzliche verbale Drohung) mit einem Messer bedroht (Anklageziffer I.4.) sowie die Privatklägerin mehrfach mit Faustschlägen und Fusstritten gegen Arme, Beine und Bauch traktiert hat (Anklageziffer II.1., 2. und 3.).</w:t>
      </w:r>
    </w:p>
    <w:p>
      <w:r>
        <w:rPr>
          <w:b/>
        </w:rPr>
        <w:t>E. 2.5</w:t>
      </w:r>
    </w:p>
    <w:p>
      <w:r>
        <w:t>Zu den (vorab zitierten) Erwägungen der Vorinstanz im angefochtenen Ent- scheid ist das Folgende zu ergänzen: Die Tatsache, dass die Privatklägerin erst rund drei Monate nach dem letzten Vorfall Anzeige erstattete, lässt tatsächlich noch nicht darauf schliessen, die geschilderten Übergriffe seien frei erfunden (Urk. 61 S. 53f.). Der lange Zeitablauf zwischen letztem Vorfall und Anzeige ist jedoch auch nicht einfach damit zu erklären, die Privatklägerin habe eine sehr hohe Hemmschwelle zu überwinden gehabt, um sich bei den Behörden zu melden und habe dies erst mit Unterstützung des Frauenhauses fertig gebracht (Urk. 61 S. 54). Es ist nicht auszuschliessen, dass die Privatklägerin mit ihren Belastungen gegen den Beschuldigten heute – auch – eigennützige Ziele verfolgt und es ist weiter nicht auszuschliessen, dass sie zur Äusserung dieser Belastun- gen tatsächlich durch Dritte motiviert worden ist. So bleibt der Vorbehalt, dass die</w:t>
      </w:r>
    </w:p>
    <w:p>
      <w:r>
        <w:t>- 12 - Privatklägerin zwar die Übergriffe des Beschuldigten realitätsgetreu geschildert hat (äusserer Sachverhalt), sich in der Schilderung deren Folgen auf ihre Psyche nun aber nicht gerade zurückhält (vgl. Urk. 42/1-2). Diese Erwägung beschlägt die Intensität der zu beurteilenden Übergriffe des Beschuldigten, worauf nachstehend zurück zu kommen ist. Es trifft ferner zu, dass die Wahrnehmungen des Zeugen H._____, wonach die Privatklägerin der dominante Part in der Beziehung des Be- schuldigten und der Privatklägerin gewesen sei (Urk. 5/1 S. 2), sich mit den Schil- derungen der Privatklägerin zum Beziehungsbild nicht decken (Urk. 61 S. 55). Dieser Widerspruch ist gestützt auf die vorliegend vorhandenen Beweismittel nicht aufzulösen. Substantielle Zweifel an den massgeblichen Aussagen der Pri- vatklägerin werden dadurch jedoch – noch – nicht begründet.</w:t>
      </w:r>
    </w:p>
    <w:p>
      <w:r>
        <w:rPr>
          <w:b/>
        </w:rPr>
        <w:t>E. 2.6</w:t>
      </w:r>
    </w:p>
    <w:p>
      <w:r>
        <w:t>Zum inneren Sachverhalt, soweit er den Beschuldigten betrifft, ist dessen Ausrede an der Hauptverhandlung, die er an der Berufungsverhandlung ebenfalls vorbrachte, er habe die Privatklägerin wohl verbal mit dem Tod bedroht, er habe dies jedoch nicht ernst gemeint und es handle sich dabei eigentlich um eine mongolische Redewendung (Urk. 45 S. 8; Urk. 82 S. 8), ohne Weiteres zu ver- werfen. Der Beschuldigte wusste und nahm es zumindest in Kauf, dass er die Privatklägerin ernsthaft verängstigen könnte, wenn er ihr droht, ihr den Hals auf- zuschneiden, und dies auch noch durch das Vorhalten eines Messers unter- strichen hat. Zum inneren Sachverhalt, soweit er die Privatklägerin betrifft, hat die Verteidigung argumentiert, es sei nicht nachvollziehbar, wie die Privatklägerin habe über Monate mit dem Beschuldigten zusammenleben können, wenn sie vier- bis fünfmal wöchentlich mit dem Tod bedroht worden wäre und/oder dies ernst genommen hätte (Urk. 47 S. 7; Urk. 83 S. 5f.). Dieser Einwand überzeugt und wird durch die entsprechende Erwägung der Vorinstanz (Urk. 61 S. 61) nicht ent- kräftet: Wäre die Privatklägerin durch die zahlreich ausgestossenen verbalen Todesdrohungen tatsächlich jedes Mal in rechtserheblichem Mass verängstigt worden, hätte sie den Beschuldigten früher fluchtartig verlassen oder die verant- wortlichen Behörden konkret verständigt. Sodann hat der Zeuge H._____ ausge- sagt, seinen Beobachtungen gemäss sei die Beziehung des Beschuldigten und</w:t>
      </w:r>
    </w:p>
    <w:p>
      <w:r>
        <w:t>- 13 - der Privatklägerin vor der Geburt des Babys gut gewesen (Urk. 5/2 S. 3). Die Privatklägerin widerspricht dem zwar (Urk. 43 S. 6f.), es ist jedoch nicht nachvoll- ziehbar, weshalb der unabhängige Zeuge eine in diesem Punkt komplett falsche Darstellung deponieren sollte. Das Kind wurde während des Aufenthalts des Beschuldigten und der Privatklägerin im Durchgangszentrum in E._____ geboren, also im Verlauf des mittleren der drei inkriminierten Zeiträume. Dies spricht gegen eine dauernde Drucksituation der Privatklägerin zu Beginn ihres Aufenthalts in E._____ und während des – früheren – Aufenthalts in I._____. Die- ser Schluss korrespondiert sodann mit der Darstellung des Beschuldigten, dass er erst nach der Geburt des Kindes wieder mit dem Alkoholkonsum begonnen habe (Urk. 45 S. 8), worum es sich um ein zentrales Problem in der Beziehung des Be- schuldigten und der Privatklägerin gehandelt hat. Der Anklagesachverhalt gemäss Anklageziffer I.1., wonach der Beschuldigte die Privatklägerin über zahlreiche Monate vier- bis fünfmal wöchentlich durch verbale Todesdrohungen in grosse Angst versetzt habe, ist somit insgesamt nicht lebensnah und daher auch nicht rechtsgenügend erstellt. Nachvollziehbar ist jedoch, dass die Privatklägerin durch die drei konkret geschil- derten Vorfälle gemäss Anklageziffern I.2., 3. und 4., bei welchen der Beschuldig- te seine Drohungen jeweils mit dem Hantieren eines Messers unterstrich, aktuell in grosse Angst versetzt worden ist. Dagegen spricht auch nicht der mit der Verteidigung bemerkenswerte Umstand, dass die Privatklägerin gemäss dem Zeugen H._____ nach Vorfällen mehrfach eine räumliche Separierung vom Beschuldigten wünschte, jedoch nach kurzer Zeit aus freien Stücken wieder mit diesem zusammen zog (Urk. 5/1 S. 2f.; Urk. 5/2 S. 5). Offensichtlich legte sich die jeweils tataktuell empfundene Angst bei der Privatklägerin wieder, weshalb sie sich vor dem Beschuldigten nicht mehr fürchtete und wieder zu diesem zurück- kehrte. Dies lässt jedoch immerhin (relativierende) Rückschlüsse auf die Intensität der durch die Privatklägerin erlittenen Ängste zu.</w:t>
      </w:r>
    </w:p>
    <w:p>
      <w:r>
        <w:rPr>
          <w:b/>
        </w:rPr>
        <w:t>E. 3</w:t>
      </w:r>
    </w:p>
    <w:p>
      <w:r>
        <w:t>Beweisergänzungsanträge wurden im Berufungsverfahren seitens der Anklagebehörde nicht gestellt (Art. 389 Abs. 3 StPO; Urk. 71). Mit Eingabe vom 26. November 2013 liess der Beschuldigte beantragen, die Eheleute C._____ und D._____ sowie den damaligen Heimleiter im Durchgangsheim E._____, F._____, als Zeugen einzuvernehmen (Urk. 78 S. 2). Diese Beweisanträge wurden mit Prä- sidialverfügung vom 28. November 2013 abgewiesen (Urk. 80). Anlässlich der Be- rufungsverhandlung wurden diese Beweisanträge nicht wiederholt und keine (neuen) Beweisanträge gestellt (vgl. Urk. 83 und Urk. 85).</w:t>
      </w:r>
    </w:p>
    <w:p>
      <w:r>
        <w:t>- 6 -</w:t>
      </w:r>
    </w:p>
    <w:p>
      <w:r>
        <w:rPr>
          <w:b/>
        </w:rPr>
        <w:t>E. 3.1</w:t>
      </w:r>
    </w:p>
    <w:p>
      <w:r>
        <w:t>Zur Täterkomponente hat die Vorinstanz den Werdegang und die persönli- chen Verhältnisse des Beschuldigten angeführt (Urk. 61 S. 78ff.). Anlässlich der Berufungsverhandlung ergab sich ergänzend, dass der Beschuldigte während einer gewissen Zeit stationär in der Psychiatrischen Universitätsklinik in Zürich wegen ausgeprägter depressiver Symptome in Behandlung war; seit 28. November 2012 wird er ambulant behandelt. Alkohol konsumiere er nicht</w:t>
      </w:r>
    </w:p>
    <w:p>
      <w:r>
        <w:t>- 17 - mehr, da er gemerkt habe, dass dies nur Probleme bringe. In finanzieller Hinsicht werde er von den Fürsorgebehörden mit Fr. 494.– (monatlich) unterstützt (Urk. 82 S. 2ff. und Urk. 87). Die Vorinstanz hat dem Beschuldigten seine schwierigen Lebensumstände in der Mongolei sowie seine aus einer Schädelverletzung resultierenden psychischen Beeinträchtigungen strafmindernd angerechnet (Urk. 61 S. 80), was übernommen werden kann. Eine besondere Strafempfind- lichkeit weist er nicht auf. Der Beschuldigte ist nicht eigentlich geständig und kann daher weder Reue noch Einsicht für sich strafmindernd reklamieren. Die von der Vorinstanz zitierte "Vorstrafe" vom 8. November 2011 wurde dem Beschuldigten gleichentags eröffnet (Urk. 63). Dieses Datum liegt nach dem Tatzeitpunkt der letzten vorliegend zu beurteilenden Tat (15. August 2011, Anklageziffer II.3.), weshalb dem Beschuldigten diese Verurteilung selbstverständlich nicht als Vorstrafe straferhöhend anzurechnen ist (Urk. 61 S. 81). Vielmehr hätte die Vor- instanz in ihrem Urteil vom 21. November 2012 Erwägungen zur Frage anstellen müssen, ob zur Strafe gemäss Strafbefehl vom 8. November 2011 eine Zusatz- strafe auszufällen ist (Art. 49 Abs. 2 StGB) und dies verneinen müssen, da sie eine Freiheitsstrafe und somit eine andere Sanktionsart als diejenige gemäss Strafbefehl vom 8. November 2011, eine Geldstrafe (Urk. 63), ausgesprochen hat (vgl. BGE 137 IV 57 ff.). Der Anklagebehörde ist im Übrigen derselbe Fehler unterlaufen (Urk. 21 S. 6; und die Verteidigung hat nicht remonstriert, Urk. 47 S. 13), worauf nachstehend zurückzukommen sein wird.</w:t>
      </w:r>
    </w:p>
    <w:p>
      <w:r>
        <w:rPr>
          <w:b/>
        </w:rPr>
        <w:t>E. 3.2</w:t>
      </w:r>
    </w:p>
    <w:p>
      <w:r>
        <w:t>Mit der Vorinstanz wirkt sich die Beurteilung der Täterkomponente auf die nach der Beurteilung der Tatkomponente bemessene hypothetische Einsatzstrafe mindernd (allerdings nicht "deutlich", Urk. 61 S. 81) aus, weshalb das vorinstanz- liche Strafmass betreffend die zu sanktionierenden Vergehen auch bei Wegfall der Verurteilung wegen einfacher Körperverletzung mit 9 Monaten (respektive 270 Tagessätzen Geldstrafe) angemessen und zu übernehmen ist. Eine Erhöhung steht schon aus prozessualen Gründen nicht zur Diskussion (zum Verbot der reformatio in peius; vgl. Entscheide des Bundesgerichts 6B_165/2011 vom 19. Juli 2011 E. 3.2.f. und vom 17. Oktober 2011 6B_156/2011 E. 2.5.2.; Art. 391 Abs. 2 StPO).</w:t>
      </w:r>
    </w:p>
    <w:p>
      <w:r>
        <w:t>- 18 -</w:t>
      </w:r>
    </w:p>
    <w:p>
      <w:r>
        <w:rPr>
          <w:b/>
        </w:rPr>
        <w:t>E. 3.3</w:t>
      </w:r>
    </w:p>
    <w:p>
      <w:r>
        <w:t>Die Vorinstanz hat als Sanktionsart auf Freiheitsstrafe erkannt einzig mit der Erwägung, der Beschuldigte sei abgewiesener Asylbewerber, er sei erwerbs- und mittellos. Er leide an einer rezidivierenden depressiven Störung und an einer post- traumatischen Belastungsstörung, weshalb einzig die Ausfällung einer Freiheits- strafe als "zweckdienlich" erscheine (Urk. 61 S. 82). Dies ist keine taugliche Begründung. Zur konstanten höchstrichterlichen Praxis zur Frage, ob eine Geld- oder eine Freiheitsstrafe zwischen 6 und 12 Monaten auszufällen ist, ist auf den Entscheid 6B_449/2011 vom 12. September 2011 E. 3.6.1. zu verweisen, wonach nach dem Prinzip der Verhältnismässigkeit bei Strafen von sechs Monaten bis zu einem Jahr die Geldstrafe als gegenüber der Freiheitsstrafe mildere Sanktion im Vordergrund steht. Der Beschuldigte ist – entgegen der Annahme der Vorinstanz in ihrer Strafzumessung – Ersttäter. Die Tatsache, dass er umständehalber wohl kein Erwerbseinkommen wird erzielen können, schliesst die Ausfällung einer Geldstrafe nicht aus (BGE 134 IV 60 E. 5.4; 134 IV 97 E. 5.2.3). Daher wäre der Beschuldigte bis hierhin mit einer Geldstrafe von 270 Tagessätzen zu bestrafen, wobei für die Tagessatzhöhe der Ansatz gemäss Strafbefehl vom 15. Februar 2013 von Fr. 20.– zu übernehmen wäre (Urk. 63). Gemäss aktuellem Strafregisterauszug hat der Beschuldigte mittlerweile eine weitere Verurteilung erfahren; so wurde er mit Strafbefehl der Staatsanwaltschaft Zürich-Sihl vom 15. Februar 2013 rechtskräftig wegen rechtswidrigen Aufent- haltes mit einer Geldstrafe von 60 Tagessätzen bestraft (Urk. 63). Wird heute eine Geldstrafe ausgefällt, hat diese als Zusatzstrafe zu den Sanktio- nen gemäss den Strafbefehlen vom 8. November 2011 und 15. Februar 2013 zu ergehen (Art. 49 Abs. 2 StGB). Das Asperationsprinzip gilt auch bei retrospektiver Konkurrenz (Entscheid des Bundesgerichts 6B_409/2011 vom 3. August 2011 E. 2.3.). In Berücksichtigung dessen ist davon auszugehen, der Beschuldigte wäre für die heute zu beurteilenden Drohungen bei gleichzeitiger Beurteilung mit jenen Delikten, die zu den zitierten Strafbefehlen (und den entsprechenden Sanktionen) geführt haben, mit einer Strafe in jener Höhe belegt worden, die er durch die Verbüssung der Untersuchungshaft im vorliegenden Verfahren</w:t>
      </w:r>
    </w:p>
    <w:p>
      <w:r>
        <w:t>- 19 - (235 Tage; Urk. 12/3 und Urk. 24 und Urk. 66) bereits erstanden hat. Daher ist der Beschuldigte heute als Zusatzstrafe zu den Strafen gemäss Strafbefehlen vom</w:t>
      </w:r>
    </w:p>
    <w:p>
      <w:r>
        <w:rPr>
          <w:b/>
        </w:rPr>
        <w:t>E. 3.4</w:t>
      </w:r>
    </w:p>
    <w:p>
      <w:r>
        <w:t>Auch wenn die auszufällende Strafe bereits erstanden ist, hat der Beschul- digte Anspruch auf die Gewährung des bedingten Strafvollzugs, wenn die ent- sprechenden Voraussetzungen gegeben sind (BGE 81 IV 209, 6S.384/2003 vom 19. Dezember 2003 E. 3.). Die Vorinstanz hat dem Beschuldigten den bedingten Strafvollzug gewährt, woran schon aus prozessualen Gründen nichts zu ändern ist (wiederum Verbot der reformatio in peius, Art. 391 Abs. 2 StPO). Ob dem Beschuldigten bei materieller Beurteilung tatsächlich eine günstige Legalprognose zu stellen wäre, ist jedoch höchst fraglich: Einerseits delinquierte er vor und nach dem vorinstanzlichen Urteil (vom 21. November 2012) weiter (Urk. 63), anderer- seits beantragte der Verteidiger im Hauptverfahren die Anordnung einer Mass- nahme (Urk. 47). Die dazu notwendige Massnahmebedürftigkeit schliesst nach konstanter Praxis eine günstige Legalprognose per se aus (Entscheide des Bundesgerichts 6B_342/2010 vom 9. Juli 2010 E. 3.5.2. mit Verweisen; 6B_71/2012 vom 21. Juni 2012 E. 6; 6B_498/2011 vom 23. Januar 2012 E. 2.6.). Von der Ansetzung einer Probezeit ist indes abzusehen. 4. Die Vorinstanz hat den Beschuldigten in Abgeltung seiner Übertretungen (mehrfache Tätlichkeiten) mit einer Busse von Fr. 300.– bestraft unter Ansetzung einer Ersatzfreiheitsstrafe von 3 Tagen (Urk. 61 S. 83f.). Dies ist ohne Weiteres zu übernehmen, unbesehen, dass gegenüber der vorinstanzlichen Beurteilung eine weitere Tätlichkeit zu sanktionieren ist (ein Faustschlag gemäss Anklage- ziffer II.3., Tätlichkeit statt einfache Körperverletzung). 5. Der Strafbefehl der Staatsanwaltschaft Zürich-Limmat vom 8. November 2011 wurde dem Beschuldigten gleichentags eröffnet (Urk. 63). Die mit diesem</w:t>
      </w:r>
    </w:p>
    <w:p>
      <w:r>
        <w:t>- 20 - Entscheid angesetzte Probezeit begann somit an diesem Tag zu laufen. Die letzte der vorliegend zu beurteilenden Taten beging der Beschuldigte am 15. August 2011 (Urk. 21 S. 5) und somit vor Beginn der Probezeit gemäss Strafbefehl vom</w:t>
      </w:r>
    </w:p>
    <w:p>
      <w:r>
        <w:rPr>
          <w:b/>
        </w:rPr>
        <w:t>E. 4</w:t>
      </w:r>
    </w:p>
    <w:p>
      <w:r>
        <w:t>Die Verteidigung hat die Berufung in ihrer Berufungserklärung ausdrücklich nicht beschränkt (Urk. 64; Art. 399 Abs. 4 StPO). Die Anklagebehörde beantragt die Bestätigung des angefochtenen Urteils (Urk. 71). Der vorinstanzliche Ent- scheid ist demnach vollumfänglich angefochten (Art. 404 StPO). II. Schuldpunkt</w:t>
      </w:r>
    </w:p>
    <w:p>
      <w:r>
        <w:rPr>
          <w:b/>
        </w:rPr>
        <w:t>E. 8</w:t>
      </w:r>
    </w:p>
    <w:p>
      <w:r>
        <w:t>November 2011 ist mithin – aus mehreren Gründen – nicht einzutreten. IV. Beschlagnahmungen Die Vorinstanz hat entgegen dem Antrag der Anklagebehörde die Herausgabe eines in der Untersuchung beschlagnahmten Messers an den Beschuldigten angeordnet (Urk. 61 S. 88f.). Es ist zwar nicht erstellt, dass es sich dabei um eine der Tatwaffen handelt, hingegen, dass der Beschuldigte vergleichbare Messer als Tatwaffen eingesetzt hat. Der Herausgabeentscheid läuft daher offensichtlich der ratio legis von Art. 69 StGB zuwider und ist schon daher nicht nachvollziehbar, als seitens des Beschuldigten gar nicht auf einer Herausgabe bestanden wurde (Urk. 47 S. 13). Einmal mehr aus prozessualen Gründen ist daran jedoch nichts zu ändern (Verbot der reformatio in peius, Art. 391 Abs. 2 StPO), weshalb dem Beschuldigten das mit Verfügung der Staatsanwaltschaft IV des Kantons Zürich vom 8. Mai 2012 (Urk. 7/4) beschlagnahmte Sackmesser (weiss, mit Aufschrift "Swiss Quality Paper" auf der einen Seite und Kreuz-Aufdruck auf der anderen</w:t>
      </w:r>
    </w:p>
    <w:p>
      <w:r>
        <w:t>- 21 - Seite) nach Eintritt der Rechtskraft dieses Entscheids von der Bezirksgerichts- kasse Uster auf erstes Verlangen herauszugeben ist. V. Zivilforderungen 1. Die Vorinstanz hat den Beschuldigten dem Grundsatz nach zu Schaden- ersatz an die Privatklägerin verpflichtet und diese im Weiteren auf den ordentli- chen Zivilprozessweg verwiesen (Urk. 61 S. 89-91). Dies ist ohne Weiteres zu bestätigen. 2. Gleiches gilt für die Verpflichtung des Beschuldigten, der Privatklägerin eine Genugtuung von Fr. 1'000.– (zuzüglich Zins) zu leisten (Urk. 61 S. 91-93). Der Anspruch ist ausgewiesen (Art. 22 OHG). Die Vorinstanz verweist auf Art. 49 Abs. 1 OR (Persönlichkeitsverletzung; Urk. 61 S. 91f.). Im Vordergrund dürfte aber wohl eher eine Verletzung der psychischen Integrität, damit der psychischen Gesundheit der Privatklägerin und mithin eine Körperverletzung nach Art. 47 OR stehen. Da es sich bei Art. 47 OR indes bloss um einen Anwendungsfall von Art. 49 OR im Sinne einer Spezialnorm handelt (BGE 123 III 204 E. 2e), kann den vorinstanzlichen Erwägungen dennoch beigepflichtet werden. Die Genugtuungshöhe ist angemessen (zum grossen Ermessen bei der Bemes- sung der Genugtuungssumme vgl. BGE 132 II 117 E. 2.2.5.). Die seitens der Privatklägerin eingereichten Therapieberichte überzeugen in ihrer Beschreibung der Intensität der psychischen Beeinträchtigung der Privatklägerin nur beschränkt (Urk. 42/1-2). Psychische Probleme der Privatklägerin werden darin sodann auch auf Handlungen zurückgeführt, die dem Beschuldigten nicht vorgeworfen werden oder in der dargestellten Weise nicht erstellt sind ("Frau B._____ leidet an den Folgen schwerer körperlicher und psychischer Gewalterfahrung über mehrere Jahre"). Die Privatklägerin, die mit ihrem Antrag auf eine höhere Genugtuung im Hauptverfahren unterlegen ist (Urk. 46), hat den vorinstanzlichen Entscheid zudem nicht angefochten.</w:t>
      </w:r>
    </w:p>
    <w:p>
      <w:r>
        <w:t>- 22 - VI.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