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SB130167 vom 13. August 2013</w:t>
      </w:r>
    </w:p>
    <w:p>
      <w:r>
        <w:t>ZH Obergericht, 2013-08-13, DE</w:t>
      </w:r>
    </w:p>
    <w:p>
      <w:r>
        <w:rPr>
          <w:b/>
        </w:rPr>
        <w:t xml:space="preserve">Quelle: </w:t>
      </w:r>
      <w:r>
        <w:t>https://mcp.opencaselaw.ch/entscheid/zh_obergericht_SB130167</w:t>
      </w:r>
    </w:p>
    <w:p>
      <w:r>
        <w:t>FR: ZH_OBERGERICHT SB130167 du 13 août 2013</w:t>
      </w:r>
    </w:p>
    <w:p>
      <w:r>
        <w:t>IT: ZH_OBERGERICHT SB130167 del 13 agosto 2013</w:t>
      </w:r>
    </w:p>
    <w:p>
      <w:pPr>
        <w:pStyle w:val="Heading2"/>
      </w:pPr>
      <w:r>
        <w:t>Erwägungen</w:t>
      </w:r>
    </w:p>
    <w:p>
      <w:r>
        <w:rPr>
          <w:b/>
        </w:rPr>
        <w:t>E. 1</w:t>
      </w:r>
    </w:p>
    <w:p>
      <w:r>
        <w:t>Prozessgeschichte</w:t>
      </w:r>
    </w:p>
    <w:p>
      <w:r>
        <w:rPr>
          <w:b/>
        </w:rPr>
        <w:t>E. 1.1</w:t>
      </w:r>
    </w:p>
    <w:p>
      <w:r>
        <w:t>Zum Verfahrensgang bis und mit dem obergerichtlichen Entscheid der hiesigen Kammer vom 21. Juni 2012 kann auf die Ausführungen im genannten Entscheid (Urk. 66 S. 4 f.) sowie im bundesgerichtlichen Entscheid vom 21. März 2013 (Urk. 75 S. 2) ver- wiesen werden.</w:t>
      </w:r>
    </w:p>
    <w:p>
      <w:r>
        <w:rPr>
          <w:b/>
        </w:rPr>
        <w:t>E. 1.2</w:t>
      </w:r>
    </w:p>
    <w:p>
      <w:r>
        <w:t>Gegen den obergerichtlichen Entscheid vom 21. Juni 2012 erhob die Oberstaats- anwaltschaft Zürich Beschwerde in Strafsachen ans Bundesgericht (Urk. 70/2). Sie bean- tragte, das angefochtene Urteil sei hinsichtlich der Anordnung einer ambulanten Mass- nahme (Dispositivziffer 2) aufzuheben und stattdessen eine stationäre Massnahme an- zuordnen; eventualiter sei die Sache zur Einholung eines Ergänzungsgutachtens und neuen Beurteilung an das Obergericht zurückzuweisen. Das Bundesgericht hiess die Be- schwerde der Oberstaatsanwaltschaft mit Urteil vom 21. März 2013 gut und wies die Sa- che zur Anordnung einer Bewährungshilfe an das Obergericht zurück (Urk. 75 S. 6).</w:t>
      </w:r>
    </w:p>
    <w:p>
      <w:r>
        <w:rPr>
          <w:b/>
        </w:rPr>
        <w:t>E. 1.3</w:t>
      </w:r>
    </w:p>
    <w:p>
      <w:r>
        <w:t>Mit Präsidialverfügung vom 23. Mai 2013 wurde das schriftliche Berufungsverfahren angeordnet und dem Beschuldigten Frist angesetzt, um zur Frage der Anordnung einer Bewährungshilfe abschliessend Stellung zu nehmen (Urk. 76). Mit Eingabe vom 7. Juni 2013 liess der Beschuldigte beantragen, es sei entsprechend dem Urteil des Bundesge- richts vom 21. März 2013 eine Bewährungshilfe anzuordnen, unter ausgangsgemässer Kosten- und Entschädigungsfolge (Urk. 78 S. 2). Mit Präsidialverfügung vom 10. Juni 2013 wurde die Eingabe des Beschuldigten der Staatsanwaltschaft zur Stellungnahme und der Vorinstanz zur freigestellten Vernehmlassung zugestellt (Urk. 81). Die Staatsan- waltschaft teilte mit Eingabe vom 12. Juni 2013 mit, sie verzichte angesichts der Fakten- lage auf eine Stellungnahme (Urk. 83). Die Vorinstanz verzichtete auf Vernehmlassung (Urk. 84).</w:t>
      </w:r>
    </w:p>
    <w:p>
      <w:r>
        <w:rPr>
          <w:b/>
        </w:rPr>
        <w:t>E. 1.4</w:t>
      </w:r>
    </w:p>
    <w:p>
      <w:r>
        <w:t>Das Verfahren erweist sich als spruchreif.</w:t>
      </w:r>
    </w:p>
    <w:p>
      <w:r>
        <w:rPr>
          <w:b/>
        </w:rPr>
        <w:t>E. 2</w:t>
      </w:r>
    </w:p>
    <w:p>
      <w:r>
        <w:t>Rückweisung und Bindungswirkung; Umfang der Berufung</w:t>
      </w:r>
    </w:p>
    <w:p>
      <w:r>
        <w:rPr>
          <w:b/>
        </w:rPr>
        <w:t>E. 2.1</w:t>
      </w:r>
    </w:p>
    <w:p>
      <w:r>
        <w:t>Das Bundesgericht hat die Beschwerde der Oberstaatsanwaltschaft zwar gutge- heissen, aber weder das Urteil vom 21. Juni 2012 noch den gleichentags von der Kam- mer gefassten Beschluss aufgehoben (Urk. 75 S. 6).</w:t>
      </w:r>
    </w:p>
    <w:p>
      <w:r>
        <w:rPr>
          <w:b/>
        </w:rPr>
        <w:t>E. 2.2</w:t>
      </w:r>
    </w:p>
    <w:p>
      <w:r>
        <w:t>Prozessgegenstand bildet nach der Rückweisung durch das Bundesgericht somit nur noch die - im ersten Verfahren gar nie thematisierte - Anordnung einer Bewährungs- hilfe durch das Gericht. Hinsichtlich der weiteren Punkte erfolgte keine Korrektur des</w:t>
      </w:r>
    </w:p>
    <w:p>
      <w:r>
        <w:t>- 8 - obergerichtlichen Entscheids. Sowohl das Urteil des Obergerichts Zürich vom 21. Juni 2012 als auch der Beschluss gleichen Datums bleiben damit bestehen. Der Klarheit hal- ber ist der Eintritt der Rechtskraft dieser beiden Entscheide vorab vorzumerken.</w:t>
      </w:r>
    </w:p>
    <w:p>
      <w:r>
        <w:rPr>
          <w:b/>
        </w:rPr>
        <w:t>E. 3</w:t>
      </w:r>
    </w:p>
    <w:p>
      <w:r>
        <w:t>Bewährungshilfe</w:t>
      </w:r>
    </w:p>
    <w:p>
      <w:r>
        <w:rPr>
          <w:b/>
        </w:rPr>
        <w:t>E. 3.1</w:t>
      </w:r>
    </w:p>
    <w:p>
      <w:r>
        <w:t>Diesbezüglich führt das Bundesgericht im Entscheid vom 21. März 2013 aus, das Obergericht erwäge, dass die regelmässige Medikamenteneinnahme sichergestellt resp. kontrollierbar sei, da die Medikamente dem Beschuldigten nun mittels monatlicher De- potspritzen verabreicht würden. Die Oberstaatsanwaltschaft Zürich stelle nicht in Abrede, dass die Medikamentenabgabe vom Beschuldigten zurzeit zuverlässig eingehalten werde und dass bei konsequenter Einhaltung dieser Therapie die schizoaffektive Störung grundsätzlich kontrolliert bzw. behandelt und letztlich "geheilt" werden könne. Sie gebe aber zu Recht zu bedenken, dass die Depotspritzen im Zeitpunkt des obergerichtlichen Urteils erst seit mehr als einem Monat eingesetzt worden seien. Um eine zuverlässige Prognose betreffend die konsequente Einhaltung der Therapie abgeben zu können, müsste ein weitaus längerer Erfahrungsbericht zur neuen Medikamentenabgabe vorlie- gen (Urk. 75 S. 4 f.).</w:t>
      </w:r>
    </w:p>
    <w:p>
      <w:r>
        <w:rPr>
          <w:b/>
        </w:rPr>
        <w:t>E. 3.2</w:t>
      </w:r>
    </w:p>
    <w:p>
      <w:r>
        <w:t>Das Bundesgericht hält fest, dass das Obergericht diesen Bedenken mit der An- ordnung einer Bewährungshilfe hätte begegnen können und müssen. Da der Beschuldig- te in der Vergangenheit die Medikamente mehrfach eigenhändig abgesetzt habe, sei nicht automatisch sichergestellt, dass er die Therapie mit den monatlichen Depotspritzen einhalte. Um ihn zur Therapie zu motivieren und zugleich auf ihn sanften Druck auszu- üben, erscheine das Mittel der Bewährungshilfe als sinnvoll und verhältnismässig, um das Therapieziel zu erreichen (Urk. 75 S. 5).</w:t>
      </w:r>
    </w:p>
    <w:p>
      <w:r>
        <w:rPr>
          <w:b/>
        </w:rPr>
        <w:t>E. 3.3</w:t>
      </w:r>
    </w:p>
    <w:p>
      <w:r>
        <w:t>Gemäss den verbindlichen Feststellungen des Bundesgerichts ist für die Dauer der ambulanten Behandlung daher eine Bewährungshilfe anzuordnen.</w:t>
      </w:r>
    </w:p>
    <w:p>
      <w:r>
        <w:rPr>
          <w:b/>
        </w:rPr>
        <w:t>E. 4</w:t>
      </w:r>
    </w:p>
    <w:p>
      <w:r>
        <w:t>Gegen diesen Entscheid kann bundesrechtliche Beschwerde in Strafsachen er- hoben werden. Die Beschwerde ist innert 30 Tagen, von der Zustellung der vollständigen, begrün- deten Ausfertigung an gerechnet, bei der strafrechtlichen Abteilung des Bundesge- richtes (1000 Lausanne 14) in der in Art. 42 des Bundesgerichtsgesetzes vorge- schriebenen Weise schriftlich einzureichen. Die Beschwerdelegitimation und die weiteren Beschwerdevoraussetzungen richten sich nach den massgeblichen Bestimmungen des Bundesgerichtsgesetzes.</w:t>
      </w:r>
    </w:p>
    <w:p>
      <w:r>
        <w:t>- 10 - Obergericht des Kantons Zürich I. Strafkammer Zürich, 13. August 2013 Der Präsident: Die Gerichtsschreiberin: lic. iur. M. Langmeier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