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SB130161 vom 20. Dezember 2013</w:t>
      </w:r>
    </w:p>
    <w:p>
      <w:r>
        <w:t>ZH Obergericht, 2013-12-20, DE</w:t>
      </w:r>
    </w:p>
    <w:p>
      <w:r>
        <w:rPr>
          <w:b/>
        </w:rPr>
        <w:t xml:space="preserve">Quelle: </w:t>
      </w:r>
      <w:r>
        <w:t>https://mcp.opencaselaw.ch/entscheid/zh_obergericht_SB130161</w:t>
      </w:r>
    </w:p>
    <w:p>
      <w:r>
        <w:t>FR: ZH_OBERGERICHT SB130161 du 20 décembre 2013</w:t>
      </w:r>
    </w:p>
    <w:p>
      <w:r>
        <w:t>IT: ZH_OBERGERICHT SB130161 del 20 dicembre 2013</w:t>
      </w:r>
    </w:p>
    <w:p>
      <w:pPr>
        <w:pStyle w:val="Heading2"/>
      </w:pPr>
      <w:r>
        <w:t>Erwägungen</w:t>
      </w:r>
    </w:p>
    <w:p>
      <w:r>
        <w:rPr>
          <w:b/>
        </w:rPr>
        <w:t>E. 1</w:t>
      </w:r>
    </w:p>
    <w:p>
      <w:r>
        <w:t>Die Anklageschrift der Staatsanwaltschaft II des Kantons Zürich vom 4. Juli 2012 wirft dem Beschuldigten einen Betrug, eventuell Veruntreuung, sowie eine Urkundenfälschung zum Nachteil des Privatklägers vor (Urk. 90). Hintergrund die- ser Anklage ist eine Bestellung von zehn Personenwagen der Marke BMW X5, für welche der Privatkläger den Kaufpreis von EUR 402'272 im Voraus bezahlte, oh- ne die Ware zu erhalten.</w:t>
      </w:r>
    </w:p>
    <w:p>
      <w:r>
        <w:rPr>
          <w:b/>
        </w:rPr>
        <w:t>E. 2</w:t>
      </w:r>
    </w:p>
    <w:p>
      <w:r>
        <w:t>Nach Durchführung der Hauptverhandlung sprach die 7. Abteilung des Be- zirksgerichts Zürich den Beschuldigten mit Urteil vom 4. Dezember 2012 frei, da "es für eine Verurteilung wegen Betrugs an der hierzu erforderlichen Arglist auf- grund nicht zu negierender Opfermitverantwortung" fehle (Urk. 129 S. 4 E. 2.1), verpflichtete ihn jedoch zur Bezahlung von EUR 402'272 zuzüglich Zins an den Privatkläger.</w:t>
      </w:r>
    </w:p>
    <w:p>
      <w:r>
        <w:rPr>
          <w:b/>
        </w:rPr>
        <w:t>E. 3</w:t>
      </w:r>
    </w:p>
    <w:p>
      <w:r>
        <w:t>Gegen diese Zahlungsverpflichtung richtet sich die rechtzeitig angemeldete und erklärte Berufung des Beschuldigten (vgl. Urk. 115 und Urk. 130). Die Staats- anwaltschaft und der Privatkläger haben kein Rechtsmittel ergriffen. Ausser in</w:t>
      </w:r>
    </w:p>
    <w:p>
      <w:r>
        <w:t>- 4 - Bezug auf den Entscheid über die Zivilklage ist das Urteil der Vorinstanz demnach rechtskräftig geworden, was vorab festzustellen ist.</w:t>
      </w:r>
    </w:p>
    <w:p>
      <w:r>
        <w:rPr>
          <w:b/>
        </w:rPr>
        <w:t>E. 4</w:t>
      </w:r>
    </w:p>
    <w:p>
      <w:r>
        <w:t>Auf den erwähnten Kaufvertrag lässt sich die Gutheissung der Zivilklage demnach nicht stützen. Angesichts der für den Freispruch des Beschuldigten an- geführten Begründung - fehlende Arglist wegen Opfermitverantwortung (vgl. Urk. 129 S. 4) - ist jedoch nicht ausgeschlossen, dass ein solcher Anspruch besteht. So macht der Privatkläger geltend, der Beschuldigte habe als alleiniger Gesell- schafter und Geschäftsführer der GmbH den Kaufpreis für sich verbraucht (Urk. 144 S. 2 oben). Damit beruft er sich sinngemäss auf die Rechtsfigur des Durch- griffs. Es ist fraglich, ob die Voraussetzungen dafür nach den Grundsätzen des aus internationalprivatrechtlicher Sicht anwendbaren Schweizerischen Rechts (vgl. Art. 133 Abs. 3 i.V.m. Art. 117 Abs. 3 lit. a IPRG) erfüllt sind. Weiterungen dazu können unterbleiben, da der Sachverhalt ohnehin nicht spruchreif ist, so dass die Zivilklage gestützt auf Art. 126 Abs. 2 lit. d StPO in Übereinstimmung mit dem Eventualantrag des Beschuldigten auf den Zivilweg zu verweisen ist. III. Bei diesem Ausgang des Verfahrens fällt die Gerichtsgebühr ausser Ansatz. Der amtliche Verteidiger, dessen Aufwendungen dokumentiert sind (Urk. 139 und 145), ist aus der Gerichtskasse zu entschädigen.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