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ZH_OBERGERICHT SB130119 vom 5. Juli 2013</w:t>
      </w:r>
    </w:p>
    <w:p>
      <w:r>
        <w:t>ZH Obergericht, 2013-07-05, DE</w:t>
      </w:r>
    </w:p>
    <w:p>
      <w:r>
        <w:rPr>
          <w:b/>
        </w:rPr>
        <w:t xml:space="preserve">Quelle: </w:t>
      </w:r>
      <w:r>
        <w:t>https://mcp.opencaselaw.ch/entscheid/zh_obergericht_SB130119</w:t>
      </w:r>
    </w:p>
    <w:p>
      <w:r>
        <w:t>FR: ZH_OBERGERICHT SB130119 du 5 juillet 2013</w:t>
      </w:r>
    </w:p>
    <w:p>
      <w:r>
        <w:t>IT: ZH_OBERGERICHT SB130119 del 5 luglio 2013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Mit Urteil vom 14. November 2012 sprach das Bezirksgericht Zürich den Be- schuldigten der Widerhandlungen gegen das BG über Ausländerinnen und Aus- länder im Sinne von Art. 115 Abs. 1 lit. b AuG sowie im Sinne von Art. 120 Abs. 1 lit. e AuG in Verbindung mit Art. 90 lit. c AuG schuldig und bestrafte ihn mit einer unbedingten Freiheitsstrafe von 5 Monaten sowie einer Busse von Fr. 500.–. Gleichzeitig wurde der teilbedingte Vollzug von 8 Monaten und 2 Wochen der mit Urteil des Strafgerichts des Kantons Schwyz vom 29. Mai 2009 ausgefällten Frei- heitsstrafe von 14 Monaten und 2 Wochen widerrufen. Vom Vorwurf der einfa- chen Körperverletzung im Sinne von Art. 123 Ziff. 1 StGB und der Drohung im Sinne von Art. 180 Abs. 1 StGB wurde der Beschuldigte freigesprochen (Urk. 51 S. 43).</w:t>
      </w:r>
    </w:p>
    <w:p>
      <w:r>
        <w:rPr>
          <w:b/>
        </w:rPr>
        <w:t>E. 2</w:t>
      </w:r>
    </w:p>
    <w:p>
      <w:r>
        <w:t>Gegen das Urteil, das am gleichen Tag mündlich eröffnet wurde (Prot. I S. 16), liess der Beschuldigte am 23. November 2012 Berufung anmelden (Urk. 47). Am 1. März 2013 folgte seine Berufungserklärung (Urk. 52). Die Staatsanwaltschaft verzichtete auf Anschlussberufung und beantragte die Bestätigung des</w:t>
      </w:r>
    </w:p>
    <w:p>
      <w:r>
        <w:t>- 5 - vorinstanzlichen Urteils (Urk. 59). Die Geschädigte B._____ liess sich nicht ver- nehmen.</w:t>
      </w:r>
    </w:p>
    <w:p>
      <w:r>
        <w:rPr>
          <w:b/>
        </w:rPr>
        <w:t>E. 3</w:t>
      </w:r>
    </w:p>
    <w:p>
      <w:r>
        <w:t>Der Beschuldigte beschränkte seine Berufung auf die Schuldsprüche wegen Widerhandlungen gegen das AuG, die Frage des Widerrufs sowie die Kostenfol- gen. Die Freisprüche vom Vorwurf der einfachen Körperverletzung im Sinne von Art. 123 Ziff. 1 StGB und der Drohung im Sinne von Art. 180 Abs. 1 StGB (Dispo- sitiv-Ziffer 2) sind somit in Rechtskraft erwachsen, was vorab mit Beschluss fest- zustellen ist.</w:t>
      </w:r>
    </w:p>
    <w:p>
      <w:r>
        <w:rPr>
          <w:b/>
        </w:rPr>
        <w:t>E. 4</w:t>
      </w:r>
    </w:p>
    <w:p>
      <w:r>
        <w:t>Da der Beschuldigte vollumfänglich freizusprechen ist, sind die Voraussetzun- gen für einen Widerruf der mit Urteil des Strafgerichts des Kantons Schwyz vom 29. Mai 2009 ausgefällten teilbedingten Freiheitsstrafe von 14 Monaten und 2 Wochen nicht gegeben. III. Kosten- und Entschädigungsfolgen Ausgangsgemäss ist die erstinstanzliche Kostenfestsetzung (Dispositiv-Ziffer 6) zu bestätigen. Die Kosten der Untersuchung sowie des erst- und zweitinstanzli- chen Gerichtsverfahrens sind sodann auf die Gerichtskasse zu nehmen (Art. 426 Abs. 1 StPO; Art. 428 StPO). Für die unschuldig erlittene Haft von 130 Tagen ist dem Beschuldigten im Einklang mit der Praxis des Bundesgerichts eine Genugtu- ung von Fr. 15'000.– zuzusprechen (vgl. BGE 6B_574/2010 vom 31. Januar 2011 E 2.3). Es wird beschlossen: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