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SB130100 vom 18. April 2013</w:t>
      </w:r>
    </w:p>
    <w:p>
      <w:r>
        <w:t>ZH Obergericht, 2013-04-18, DE</w:t>
      </w:r>
    </w:p>
    <w:p>
      <w:r>
        <w:rPr>
          <w:b/>
        </w:rPr>
        <w:t xml:space="preserve">Quelle: </w:t>
      </w:r>
      <w:r>
        <w:t>https://mcp.opencaselaw.ch/entscheid/zh_obergericht_SB130100</w:t>
      </w:r>
    </w:p>
    <w:p>
      <w:r>
        <w:t>FR: ZH_OBERGERICHT SB130100 du 18 avril 2013</w:t>
      </w:r>
    </w:p>
    <w:p>
      <w:r>
        <w:t>IT: ZH_OBERGERICHT SB130100 del 18 aprile 2013</w:t>
      </w:r>
    </w:p>
    <w:p>
      <w:pPr>
        <w:pStyle w:val="Heading2"/>
      </w:pPr>
      <w:r>
        <w:t>Erwägungen</w:t>
      </w:r>
    </w:p>
    <w:p>
      <w:r>
        <w:rPr>
          <w:b/>
        </w:rPr>
        <w:t>E. 1</w:t>
      </w:r>
    </w:p>
    <w:p>
      <w:r>
        <w:t>Am 13. Dezember 2012 meldete die Vertreterin der Privatklägerin Berufung gegen das Urteil des Bezirksgerichtes Zürich, 7. Abteilung - Einzelgericht, vom 7. Dezember 2012 an (Urk. 31). Das begründete Urteil wurde ihr am 7. März 2013 zugestellt (Urk. 37/3). Da innert Frist keine Berufungserklärung der Privatklägerin eingegangen ist, ist unter Hinweis auf Art. 403 Abs. 1 und Abs. 3 StPO auf ihre Berufung nicht einzutreten.</w:t>
      </w:r>
    </w:p>
    <w:p>
      <w:r>
        <w:rPr>
          <w:b/>
        </w:rPr>
        <w:t>E. 2</w:t>
      </w:r>
    </w:p>
    <w:p>
      <w:r>
        <w:t>Am 17. Dezember 2012 meldete auch die Staatsanwaltschaft IV des Kantons Zürich Berufung an (Urk. 34). Mit Eingabe vom 14. März 2013, eingegangen am 18. März 2013, hat die Staatsanwaltschaft IV die Berufung zurückgezogen (Urk. 40).</w:t>
      </w:r>
    </w:p>
    <w:p>
      <w:r>
        <w:rPr>
          <w:b/>
        </w:rPr>
        <w:t>E. 3</w:t>
      </w:r>
    </w:p>
    <w:p>
      <w:r>
        <w:t>Ausgangsgemäss sind die Kosten des Berufungsverfahrens, einschliesslich derjenigen der amtlichen Verteidigung und der unentgeltlichen Vertretung der Privatklägerin, auf die Gerichtskasse zu nehmen (Art. 428 Abs. 1 StPO). Die Privatklägerin von der Kostentragungspflicht auszunehmen rechtfertigt sich in analoger Anwendung von Art. 425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